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CF813D">
      <w:pPr>
        <w:jc w:val="center"/>
        <w:rPr>
          <w:rFonts w:ascii="Times New Roman" w:hAnsi="Times New Roman"/>
          <w:b/>
          <w:bCs/>
          <w:sz w:val="15"/>
          <w:szCs w:val="15"/>
        </w:rPr>
      </w:pPr>
    </w:p>
    <w:p w14:paraId="11535F54">
      <w:pPr>
        <w:jc w:val="center"/>
        <w:rPr>
          <w:rFonts w:ascii="Times New Roman" w:hAnsi="Times New Roman"/>
          <w:b/>
          <w:bCs/>
          <w:sz w:val="15"/>
          <w:szCs w:val="15"/>
        </w:rPr>
      </w:pPr>
    </w:p>
    <w:p w14:paraId="4CD9B4BF">
      <w:pPr>
        <w:jc w:val="center"/>
        <w:rPr>
          <w:rFonts w:ascii="Times New Roman" w:hAnsi="Times New Roman"/>
          <w:b/>
          <w:bCs/>
          <w:sz w:val="32"/>
          <w:szCs w:val="32"/>
        </w:rPr>
      </w:pPr>
    </w:p>
    <w:p w14:paraId="22FE4875">
      <w:pPr>
        <w:rPr>
          <w:rFonts w:ascii="Times New Roman" w:hAnsi="Times New Roman"/>
          <w:b/>
          <w:bCs/>
          <w:sz w:val="32"/>
          <w:szCs w:val="32"/>
        </w:rPr>
      </w:pPr>
    </w:p>
    <w:p w14:paraId="736C6936">
      <w:pPr>
        <w:rPr>
          <w:rFonts w:ascii="Times New Roman" w:hAnsi="Times New Roman"/>
          <w:b/>
          <w:bCs/>
          <w:sz w:val="32"/>
          <w:szCs w:val="32"/>
        </w:rPr>
      </w:pPr>
    </w:p>
    <w:p w14:paraId="4FB37C69">
      <w:pPr>
        <w:rPr>
          <w:rFonts w:ascii="Times New Roman" w:hAnsi="Times New Roman"/>
          <w:b/>
          <w:bCs/>
          <w:sz w:val="32"/>
          <w:szCs w:val="32"/>
        </w:rPr>
      </w:pPr>
    </w:p>
    <w:p w14:paraId="3D32DDBE">
      <w:pPr>
        <w:rPr>
          <w:rFonts w:ascii="Times New Roman" w:hAnsi="Times New Roman"/>
          <w:b/>
          <w:bCs/>
          <w:sz w:val="32"/>
          <w:szCs w:val="32"/>
        </w:rPr>
      </w:pPr>
    </w:p>
    <w:p w14:paraId="445024F2">
      <w:pPr>
        <w:rPr>
          <w:rFonts w:ascii="Times New Roman" w:hAnsi="Times New Roman"/>
          <w:b/>
          <w:bCs/>
          <w:sz w:val="32"/>
          <w:szCs w:val="32"/>
        </w:rPr>
      </w:pPr>
    </w:p>
    <w:p w14:paraId="548A699B">
      <w:pPr>
        <w:rPr>
          <w:rFonts w:ascii="Times New Roman" w:hAnsi="Times New Roman"/>
          <w:b/>
          <w:bCs/>
          <w:sz w:val="32"/>
          <w:szCs w:val="32"/>
        </w:rPr>
      </w:pPr>
    </w:p>
    <w:p w14:paraId="2037EB51">
      <w:pPr>
        <w:jc w:val="center"/>
        <w:rPr>
          <w:rFonts w:ascii="Times New Roman" w:hAnsi="Times New Roman"/>
          <w:b/>
          <w:bCs/>
          <w:sz w:val="32"/>
          <w:szCs w:val="32"/>
        </w:rPr>
      </w:pPr>
      <w:r>
        <w:rPr>
          <w:rFonts w:hint="eastAsia" w:ascii="Times New Roman" w:hAnsi="Times New Roman"/>
          <w:b/>
          <w:bCs/>
          <w:sz w:val="84"/>
          <w:szCs w:val="84"/>
        </w:rPr>
        <w:t>《学前教育简史》</w:t>
      </w:r>
    </w:p>
    <w:p w14:paraId="26312BB7">
      <w:pPr>
        <w:jc w:val="center"/>
        <w:rPr>
          <w:rFonts w:ascii="Times New Roman" w:hAnsi="Times New Roman"/>
          <w:b/>
          <w:bCs/>
          <w:sz w:val="84"/>
          <w:szCs w:val="84"/>
        </w:rPr>
      </w:pPr>
      <w:r>
        <w:rPr>
          <w:rFonts w:hint="eastAsia" w:ascii="Times New Roman" w:hAnsi="Times New Roman"/>
          <w:b/>
          <w:bCs/>
          <w:sz w:val="52"/>
          <w:szCs w:val="52"/>
        </w:rPr>
        <w:t>（第三版）</w:t>
      </w:r>
    </w:p>
    <w:p w14:paraId="0D581245">
      <w:pPr>
        <w:jc w:val="center"/>
        <w:rPr>
          <w:rFonts w:ascii="Times New Roman" w:hAnsi="Times New Roman"/>
          <w:b/>
          <w:bCs/>
          <w:sz w:val="72"/>
          <w:szCs w:val="72"/>
        </w:rPr>
      </w:pPr>
    </w:p>
    <w:p w14:paraId="7411B9A8">
      <w:pPr>
        <w:jc w:val="center"/>
        <w:rPr>
          <w:rFonts w:ascii="Times New Roman" w:hAnsi="Times New Roman"/>
          <w:b/>
          <w:bCs/>
          <w:sz w:val="72"/>
          <w:szCs w:val="72"/>
        </w:rPr>
      </w:pPr>
      <w:r>
        <w:rPr>
          <w:rFonts w:hint="eastAsia" w:ascii="Times New Roman" w:hAnsi="Times New Roman"/>
          <w:b/>
          <w:bCs/>
          <w:sz w:val="72"/>
          <w:szCs w:val="72"/>
        </w:rPr>
        <w:t>教案</w:t>
      </w:r>
    </w:p>
    <w:p w14:paraId="6A94CC0B">
      <w:pPr>
        <w:jc w:val="center"/>
        <w:rPr>
          <w:rFonts w:ascii="Times New Roman" w:hAnsi="Times New Roman"/>
          <w:b/>
          <w:bCs/>
          <w:sz w:val="28"/>
          <w:szCs w:val="28"/>
        </w:rPr>
      </w:pPr>
    </w:p>
    <w:p w14:paraId="77E74281">
      <w:pPr>
        <w:rPr>
          <w:rFonts w:ascii="Times New Roman" w:hAnsi="Times New Roman"/>
          <w:b/>
          <w:bCs/>
          <w:sz w:val="28"/>
          <w:szCs w:val="28"/>
        </w:rPr>
      </w:pPr>
    </w:p>
    <w:p w14:paraId="61700F38">
      <w:pPr>
        <w:rPr>
          <w:rFonts w:ascii="Times New Roman" w:hAnsi="Times New Roman"/>
          <w:b/>
          <w:bCs/>
          <w:sz w:val="28"/>
          <w:szCs w:val="28"/>
        </w:rPr>
      </w:pPr>
    </w:p>
    <w:p w14:paraId="0CFDD50C">
      <w:pPr>
        <w:jc w:val="center"/>
        <w:rPr>
          <w:rFonts w:ascii="Times New Roman" w:hAnsi="Times New Roman"/>
          <w:b/>
          <w:bCs/>
          <w:sz w:val="28"/>
          <w:szCs w:val="28"/>
        </w:rPr>
      </w:pPr>
    </w:p>
    <w:p w14:paraId="09C27978">
      <w:pPr>
        <w:jc w:val="center"/>
        <w:rPr>
          <w:rFonts w:ascii="Times New Roman" w:hAnsi="Times New Roman"/>
          <w:b/>
          <w:bCs/>
          <w:sz w:val="28"/>
          <w:szCs w:val="28"/>
        </w:rPr>
      </w:pPr>
    </w:p>
    <w:p w14:paraId="65958C10">
      <w:pPr>
        <w:jc w:val="center"/>
        <w:rPr>
          <w:rFonts w:ascii="Times New Roman" w:hAnsi="Times New Roman"/>
          <w:b/>
          <w:bCs/>
          <w:sz w:val="28"/>
          <w:szCs w:val="28"/>
        </w:rPr>
      </w:pPr>
    </w:p>
    <w:p w14:paraId="43593C5F">
      <w:pPr>
        <w:rPr>
          <w:rFonts w:ascii="Times New Roman" w:hAnsi="Times New Roman"/>
          <w:b/>
          <w:bCs/>
          <w:sz w:val="28"/>
          <w:szCs w:val="28"/>
        </w:rPr>
      </w:pPr>
    </w:p>
    <w:p w14:paraId="37633CE9">
      <w:pPr>
        <w:rPr>
          <w:rFonts w:ascii="Times New Roman" w:hAnsi="Times New Roman"/>
          <w:b/>
          <w:bCs/>
          <w:sz w:val="28"/>
          <w:szCs w:val="28"/>
        </w:rPr>
      </w:pPr>
    </w:p>
    <w:p w14:paraId="473F20F4">
      <w:pPr>
        <w:jc w:val="center"/>
        <w:rPr>
          <w:rFonts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2A9DA4E6">
                            <w:pPr>
                              <w:rPr>
                                <w:color w:val="FFFFFF" w:themeColor="background1"/>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2A9DA4E6">
                      <w:pPr>
                        <w:rPr>
                          <w:color w:val="FFFFFF" w:themeColor="background1"/>
                          <w14:textFill>
                            <w14:noFill/>
                          </w14:textFill>
                        </w:rPr>
                      </w:pPr>
                    </w:p>
                  </w:txbxContent>
                </v:textbox>
              </v:rect>
            </w:pict>
          </mc:Fallback>
        </mc:AlternateContent>
      </w:r>
    </w:p>
    <w:p w14:paraId="3FAE0DE4">
      <w:pPr>
        <w:jc w:val="center"/>
        <w:rPr>
          <w:rFonts w:ascii="Times New Roman" w:hAnsi="Times New Roman"/>
          <w:b/>
          <w:bCs/>
          <w:sz w:val="36"/>
          <w:szCs w:val="36"/>
        </w:rPr>
      </w:pPr>
      <w:r>
        <w:rPr>
          <w:rFonts w:hint="eastAsia" w:ascii="华文行楷" w:hAnsi="华文行楷" w:eastAsia="华文行楷" w:cs="华文行楷"/>
          <w:sz w:val="36"/>
          <w:szCs w:val="36"/>
          <w:shd w:val="clear" w:color="auto" w:fill="FFFFFF" w:themeFill="background1"/>
        </w:rPr>
        <w:t>北京出版社</w:t>
      </w:r>
    </w:p>
    <w:p w14:paraId="09D708FB">
      <w:pPr>
        <w:jc w:val="center"/>
        <w:rPr>
          <w:rFonts w:ascii="Times New Roman" w:hAnsi="Times New Roman"/>
          <w:b/>
          <w:bCs/>
          <w:sz w:val="28"/>
          <w:szCs w:val="28"/>
        </w:rPr>
        <w:sectPr>
          <w:headerReference r:id="rId4" w:type="first"/>
          <w:headerReference r:id="rId3" w:type="default"/>
          <w:pgSz w:w="11906" w:h="16838"/>
          <w:pgMar w:top="283" w:right="170" w:bottom="283" w:left="170" w:header="0" w:footer="0" w:gutter="0"/>
          <w:cols w:space="425" w:num="1"/>
          <w:titlePg/>
          <w:docGrid w:type="lines" w:linePitch="312" w:charSpace="0"/>
        </w:sectPr>
      </w:pPr>
    </w:p>
    <w:p w14:paraId="5A1266B9">
      <w:pPr>
        <w:pStyle w:val="2"/>
        <w:bidi w:val="0"/>
        <w:jc w:val="center"/>
      </w:pPr>
      <w:r>
        <w:rPr>
          <w:rFonts w:hint="eastAsia"/>
          <w:lang w:val="en-US" w:eastAsia="zh-CN"/>
        </w:rPr>
        <w:t xml:space="preserve">项目十二  </w:t>
      </w:r>
      <w:r>
        <w:rPr>
          <w:rFonts w:hint="eastAsia"/>
        </w:rPr>
        <w:t>欧美主要国家和日本的学前教育</w:t>
      </w:r>
    </w:p>
    <w:tbl>
      <w:tblPr>
        <w:tblStyle w:val="10"/>
        <w:tblW w:w="11055"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61"/>
        <w:gridCol w:w="7479"/>
        <w:gridCol w:w="1915"/>
      </w:tblGrid>
      <w:tr w14:paraId="71A821E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9F3A564">
            <w:pPr>
              <w:ind w:hanging="8"/>
              <w:jc w:val="center"/>
              <w:rPr>
                <w:rFonts w:ascii="宋体" w:hAnsi="宋体" w:cs="宋体"/>
                <w:b/>
                <w:bCs w:val="0"/>
                <w:color w:val="806000" w:themeColor="accent4" w:themeShade="80"/>
                <w:sz w:val="28"/>
                <w:szCs w:val="28"/>
              </w:rPr>
            </w:pPr>
            <w:bookmarkStart w:id="9" w:name="_GoBack" w:colFirst="0" w:colLast="0"/>
            <w:r>
              <w:rPr>
                <w:rFonts w:hint="eastAsia" w:ascii="宋体" w:hAnsi="宋体" w:cs="宋体"/>
                <w:b/>
                <w:bCs w:val="0"/>
                <w:color w:val="806000" w:themeColor="accent4" w:themeShade="80"/>
                <w:sz w:val="28"/>
                <w:szCs w:val="28"/>
              </w:rPr>
              <w:t>课题</w:t>
            </w:r>
          </w:p>
        </w:tc>
        <w:tc>
          <w:tcPr>
            <w:tcW w:w="9394" w:type="dxa"/>
            <w:gridSpan w:val="2"/>
            <w:tcBorders>
              <w:tl2br w:val="nil"/>
              <w:tr2bl w:val="nil"/>
            </w:tcBorders>
            <w:vAlign w:val="center"/>
          </w:tcPr>
          <w:p w14:paraId="3557841D">
            <w:pPr>
              <w:spacing w:line="264" w:lineRule="auto"/>
              <w:ind w:hanging="8"/>
              <w:rPr>
                <w:rFonts w:ascii="Times New Roman" w:hAnsi="Times New Roman"/>
                <w:sz w:val="24"/>
                <w:szCs w:val="24"/>
              </w:rPr>
            </w:pPr>
            <w:r>
              <w:rPr>
                <w:rFonts w:hint="eastAsia" w:ascii="Times New Roman" w:hAnsi="宋体"/>
                <w:b/>
                <w:bCs/>
                <w:color w:val="806000" w:themeColor="accent4" w:themeShade="80"/>
                <w:sz w:val="28"/>
                <w:szCs w:val="28"/>
              </w:rPr>
              <w:t>欧美主要国家和日本的学前教育</w:t>
            </w:r>
          </w:p>
        </w:tc>
      </w:tr>
      <w:tr w14:paraId="74EEE6B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38F0629">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课时</w:t>
            </w:r>
          </w:p>
        </w:tc>
        <w:tc>
          <w:tcPr>
            <w:tcW w:w="9394" w:type="dxa"/>
            <w:gridSpan w:val="2"/>
            <w:tcBorders>
              <w:tl2br w:val="nil"/>
              <w:tr2bl w:val="nil"/>
            </w:tcBorders>
            <w:vAlign w:val="center"/>
          </w:tcPr>
          <w:p w14:paraId="7AEED13C">
            <w:pPr>
              <w:spacing w:line="264" w:lineRule="auto"/>
              <w:ind w:hanging="8"/>
              <w:rPr>
                <w:rFonts w:ascii="Times New Roman" w:hAnsi="Times New Roman"/>
                <w:sz w:val="24"/>
                <w:szCs w:val="24"/>
              </w:rPr>
            </w:pPr>
            <w:r>
              <w:rPr>
                <w:rFonts w:ascii="Times New Roman" w:hAnsi="Times New Roman"/>
                <w:sz w:val="24"/>
                <w:szCs w:val="24"/>
              </w:rPr>
              <w:t>2</w:t>
            </w:r>
            <w:r>
              <w:rPr>
                <w:rFonts w:ascii="Times New Roman" w:hAnsi="宋体"/>
                <w:sz w:val="24"/>
                <w:szCs w:val="24"/>
              </w:rPr>
              <w:t>课时</w:t>
            </w:r>
            <w:r>
              <w:rPr>
                <w:rFonts w:hint="eastAsia" w:ascii="Times New Roman" w:hAnsi="宋体"/>
                <w:sz w:val="24"/>
                <w:szCs w:val="24"/>
              </w:rPr>
              <w:t>（</w:t>
            </w:r>
            <w:r>
              <w:rPr>
                <w:rFonts w:ascii="Times New Roman" w:hAnsi="宋体"/>
                <w:sz w:val="24"/>
                <w:szCs w:val="24"/>
              </w:rPr>
              <w:t>90</w:t>
            </w:r>
            <w:r>
              <w:rPr>
                <w:rFonts w:hint="eastAsia" w:ascii="Times New Roman" w:hAnsi="宋体"/>
                <w:sz w:val="24"/>
                <w:szCs w:val="24"/>
              </w:rPr>
              <w:t>min）。</w:t>
            </w:r>
          </w:p>
        </w:tc>
      </w:tr>
      <w:tr w14:paraId="6C6ADF9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713D59F">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教学目标</w:t>
            </w:r>
          </w:p>
        </w:tc>
        <w:tc>
          <w:tcPr>
            <w:tcW w:w="9394" w:type="dxa"/>
            <w:gridSpan w:val="2"/>
            <w:tcBorders>
              <w:tl2br w:val="nil"/>
              <w:tr2bl w:val="nil"/>
            </w:tcBorders>
            <w:vAlign w:val="center"/>
          </w:tcPr>
          <w:p w14:paraId="7B071E9D">
            <w:pPr>
              <w:spacing w:line="360" w:lineRule="auto"/>
              <w:ind w:hanging="8"/>
              <w:rPr>
                <w:b/>
                <w:color w:val="806000" w:themeColor="accent4" w:themeShade="80"/>
                <w:sz w:val="24"/>
                <w:szCs w:val="24"/>
              </w:rPr>
            </w:pPr>
            <w:r>
              <w:rPr>
                <w:rFonts w:hAnsi="宋体"/>
                <w:b/>
                <w:color w:val="806000" w:themeColor="accent4" w:themeShade="80"/>
                <w:sz w:val="24"/>
                <w:szCs w:val="24"/>
              </w:rPr>
              <w:t>知识目标：</w:t>
            </w:r>
          </w:p>
          <w:p w14:paraId="534A8CCB">
            <w:pPr>
              <w:spacing w:line="360" w:lineRule="auto"/>
              <w:ind w:firstLine="480" w:firstLineChars="200"/>
              <w:rPr>
                <w:rFonts w:hint="eastAsia" w:ascii="Times New Roman" w:hAnsi="Times New Roman"/>
                <w:sz w:val="24"/>
                <w:szCs w:val="24"/>
              </w:rPr>
            </w:pPr>
            <w:r>
              <w:rPr>
                <w:rFonts w:hint="eastAsia" w:ascii="Times New Roman" w:hAnsi="Times New Roman"/>
                <w:sz w:val="24"/>
                <w:szCs w:val="24"/>
              </w:rPr>
              <w:t>1.了解英国的《费舍法案》。</w:t>
            </w:r>
          </w:p>
          <w:p w14:paraId="12863E70">
            <w:pPr>
              <w:spacing w:line="360" w:lineRule="auto"/>
              <w:ind w:firstLine="480" w:firstLineChars="200"/>
              <w:rPr>
                <w:rFonts w:hint="eastAsia" w:ascii="Times New Roman" w:hAnsi="Times New Roman"/>
                <w:sz w:val="24"/>
                <w:szCs w:val="24"/>
              </w:rPr>
            </w:pPr>
            <w:r>
              <w:rPr>
                <w:rFonts w:hint="eastAsia" w:ascii="Times New Roman" w:hAnsi="Times New Roman"/>
                <w:sz w:val="24"/>
                <w:szCs w:val="24"/>
              </w:rPr>
              <w:t>2.掌握法国学前教育在世界上保持领先地位的原因。</w:t>
            </w:r>
          </w:p>
          <w:p w14:paraId="54AEEA6F">
            <w:pPr>
              <w:spacing w:line="360" w:lineRule="auto"/>
              <w:ind w:firstLine="480" w:firstLineChars="200"/>
              <w:rPr>
                <w:rFonts w:ascii="Times New Roman" w:hAnsi="Times New Roman"/>
                <w:sz w:val="24"/>
                <w:szCs w:val="24"/>
              </w:rPr>
            </w:pPr>
            <w:r>
              <w:rPr>
                <w:rFonts w:hint="eastAsia" w:ascii="Times New Roman" w:hAnsi="Times New Roman"/>
                <w:sz w:val="24"/>
                <w:szCs w:val="24"/>
              </w:rPr>
              <w:t>3.理解日本《幼儿园保育及设备规程》的历史意义。</w:t>
            </w:r>
            <w:bookmarkStart w:id="0" w:name="OLE_LINK1"/>
          </w:p>
          <w:p w14:paraId="0B155F3A">
            <w:pPr>
              <w:spacing w:line="360" w:lineRule="auto"/>
              <w:rPr>
                <w:rFonts w:ascii="Times New Roman" w:hAnsi="Times New Roman"/>
                <w:b/>
                <w:color w:val="806000" w:themeColor="accent4" w:themeShade="80"/>
                <w:sz w:val="24"/>
                <w:szCs w:val="24"/>
              </w:rPr>
            </w:pPr>
            <w:r>
              <w:rPr>
                <w:rFonts w:hint="eastAsia" w:ascii="Times New Roman" w:hAnsi="Times New Roman"/>
                <w:b/>
                <w:color w:val="806000" w:themeColor="accent4" w:themeShade="80"/>
                <w:sz w:val="24"/>
                <w:szCs w:val="24"/>
              </w:rPr>
              <w:t>技能</w:t>
            </w:r>
            <w:r>
              <w:rPr>
                <w:rFonts w:ascii="Times New Roman" w:hAnsi="Times New Roman"/>
                <w:b/>
                <w:color w:val="806000" w:themeColor="accent4" w:themeShade="80"/>
                <w:sz w:val="24"/>
                <w:szCs w:val="24"/>
              </w:rPr>
              <w:t>目标</w:t>
            </w:r>
            <w:r>
              <w:rPr>
                <w:rFonts w:hint="eastAsia" w:ascii="Times New Roman" w:hAnsi="Times New Roman"/>
                <w:b/>
                <w:color w:val="806000" w:themeColor="accent4" w:themeShade="80"/>
                <w:sz w:val="24"/>
                <w:szCs w:val="24"/>
              </w:rPr>
              <w:t>：</w:t>
            </w:r>
          </w:p>
          <w:bookmarkEnd w:id="0"/>
          <w:p w14:paraId="221EA922">
            <w:pPr>
              <w:spacing w:line="360" w:lineRule="auto"/>
              <w:ind w:firstLine="480" w:firstLineChars="200"/>
              <w:rPr>
                <w:rFonts w:hint="eastAsia" w:ascii="Times New Roman" w:hAnsi="宋体"/>
                <w:bCs/>
                <w:sz w:val="24"/>
                <w:szCs w:val="24"/>
              </w:rPr>
            </w:pPr>
            <w:r>
              <w:rPr>
                <w:rFonts w:hint="eastAsia" w:ascii="Times New Roman" w:hAnsi="宋体"/>
                <w:bCs/>
                <w:sz w:val="24"/>
                <w:szCs w:val="24"/>
              </w:rPr>
              <w:t>1.能用时间轴展示二战前后英国学前教育的发展脉络。</w:t>
            </w:r>
          </w:p>
          <w:p w14:paraId="1D51A10B">
            <w:pPr>
              <w:spacing w:line="360" w:lineRule="auto"/>
              <w:ind w:firstLine="480" w:firstLineChars="200"/>
              <w:rPr>
                <w:rFonts w:hint="eastAsia" w:ascii="Times New Roman" w:hAnsi="宋体"/>
                <w:bCs/>
                <w:sz w:val="24"/>
                <w:szCs w:val="24"/>
              </w:rPr>
            </w:pPr>
            <w:r>
              <w:rPr>
                <w:rFonts w:hint="eastAsia" w:ascii="Times New Roman" w:hAnsi="宋体"/>
                <w:bCs/>
                <w:sz w:val="24"/>
                <w:szCs w:val="24"/>
              </w:rPr>
              <w:t>2.会用思维导图梳理杜威教育思想的核心内容及其意义。</w:t>
            </w:r>
          </w:p>
          <w:p w14:paraId="45619A7A">
            <w:pPr>
              <w:spacing w:line="360" w:lineRule="auto"/>
              <w:ind w:firstLine="480" w:firstLineChars="200"/>
              <w:rPr>
                <w:rFonts w:ascii="Times New Roman" w:hAnsi="宋体"/>
                <w:bCs/>
                <w:sz w:val="24"/>
                <w:szCs w:val="24"/>
              </w:rPr>
            </w:pPr>
            <w:r>
              <w:rPr>
                <w:rFonts w:hint="eastAsia" w:ascii="Times New Roman" w:hAnsi="宋体"/>
                <w:bCs/>
                <w:sz w:val="24"/>
                <w:szCs w:val="24"/>
              </w:rPr>
              <w:t>3.可以说出二战后联邦德国学前教育机构的主要类型。</w:t>
            </w:r>
          </w:p>
          <w:p w14:paraId="5AA969E7">
            <w:pPr>
              <w:spacing w:line="360" w:lineRule="auto"/>
              <w:rPr>
                <w:rFonts w:ascii="Times New Roman" w:hAnsi="Times New Roman"/>
                <w:b/>
                <w:color w:val="806000" w:themeColor="accent4" w:themeShade="80"/>
                <w:sz w:val="24"/>
                <w:szCs w:val="24"/>
              </w:rPr>
            </w:pPr>
            <w:r>
              <w:rPr>
                <w:rFonts w:hint="eastAsia" w:ascii="Times New Roman" w:hAnsi="Times New Roman"/>
                <w:b/>
                <w:color w:val="806000" w:themeColor="accent4" w:themeShade="80"/>
                <w:sz w:val="24"/>
                <w:szCs w:val="24"/>
              </w:rPr>
              <w:t>素质目标：</w:t>
            </w:r>
          </w:p>
          <w:p w14:paraId="0ED46CCB">
            <w:pPr>
              <w:spacing w:line="360" w:lineRule="auto"/>
              <w:ind w:left="-6" w:firstLine="480" w:firstLineChars="200"/>
              <w:rPr>
                <w:rFonts w:ascii="Times New Roman" w:hAnsi="Times New Roman"/>
                <w:sz w:val="24"/>
                <w:szCs w:val="24"/>
              </w:rPr>
            </w:pPr>
            <w:r>
              <w:rPr>
                <w:rFonts w:hint="eastAsia" w:ascii="Times New Roman" w:hAnsi="Times New Roman"/>
                <w:sz w:val="24"/>
                <w:szCs w:val="24"/>
              </w:rPr>
              <w:t>了解早期教育的重要性，重视儿童发展的敏感期，形成尊重儿童、尊重儿童身心发展规律的专业素养。</w:t>
            </w:r>
          </w:p>
        </w:tc>
      </w:tr>
      <w:tr w14:paraId="05DF2CF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2D16A37">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教学重难点</w:t>
            </w:r>
          </w:p>
        </w:tc>
        <w:tc>
          <w:tcPr>
            <w:tcW w:w="9394" w:type="dxa"/>
            <w:gridSpan w:val="2"/>
            <w:tcBorders>
              <w:tl2br w:val="nil"/>
              <w:tr2bl w:val="nil"/>
            </w:tcBorders>
            <w:vAlign w:val="center"/>
          </w:tcPr>
          <w:p w14:paraId="37F11037">
            <w:pPr>
              <w:spacing w:line="360" w:lineRule="auto"/>
              <w:ind w:left="-6" w:firstLine="480" w:firstLineChars="200"/>
              <w:rPr>
                <w:rFonts w:hint="eastAsia" w:ascii="Times New Roman" w:hAnsi="Times New Roman"/>
                <w:sz w:val="24"/>
                <w:szCs w:val="24"/>
              </w:rPr>
            </w:pPr>
            <w:r>
              <w:rPr>
                <w:rFonts w:hint="eastAsia" w:ascii="Times New Roman" w:hAnsi="Times New Roman"/>
                <w:sz w:val="24"/>
                <w:szCs w:val="24"/>
              </w:rPr>
              <w:t>1.英国的幼儿游戏班运动。</w:t>
            </w:r>
          </w:p>
          <w:p w14:paraId="4A0D1A60">
            <w:pPr>
              <w:spacing w:line="360" w:lineRule="auto"/>
              <w:ind w:left="-6" w:firstLine="480" w:firstLineChars="200"/>
              <w:rPr>
                <w:rFonts w:hint="eastAsia" w:ascii="Times New Roman" w:hAnsi="Times New Roman"/>
                <w:sz w:val="24"/>
                <w:szCs w:val="24"/>
              </w:rPr>
            </w:pPr>
            <w:r>
              <w:rPr>
                <w:rFonts w:hint="eastAsia" w:ascii="Times New Roman" w:hAnsi="Times New Roman"/>
                <w:sz w:val="24"/>
                <w:szCs w:val="24"/>
              </w:rPr>
              <w:t>2.美国的进步主义幼儿园运动。</w:t>
            </w:r>
          </w:p>
          <w:p w14:paraId="53351281">
            <w:pPr>
              <w:spacing w:line="360" w:lineRule="auto"/>
              <w:ind w:left="-6" w:firstLine="480" w:firstLineChars="200"/>
              <w:rPr>
                <w:rFonts w:hint="eastAsia" w:ascii="Times New Roman" w:hAnsi="Times New Roman"/>
                <w:sz w:val="24"/>
                <w:szCs w:val="24"/>
              </w:rPr>
            </w:pPr>
            <w:r>
              <w:rPr>
                <w:rFonts w:hint="eastAsia" w:ascii="Times New Roman" w:hAnsi="Times New Roman"/>
                <w:sz w:val="24"/>
                <w:szCs w:val="24"/>
              </w:rPr>
              <w:t>3.杜威的“儿童中心论”。</w:t>
            </w:r>
          </w:p>
          <w:p w14:paraId="13E26812">
            <w:pPr>
              <w:spacing w:line="360" w:lineRule="auto"/>
              <w:ind w:left="-6" w:firstLine="480" w:firstLineChars="200"/>
              <w:rPr>
                <w:rFonts w:ascii="Times New Roman" w:hAnsi="Times New Roman"/>
                <w:sz w:val="24"/>
                <w:szCs w:val="24"/>
              </w:rPr>
            </w:pPr>
            <w:r>
              <w:rPr>
                <w:rFonts w:hint="eastAsia" w:ascii="Times New Roman" w:hAnsi="Times New Roman"/>
                <w:sz w:val="24"/>
                <w:szCs w:val="24"/>
              </w:rPr>
              <w:t>4.蒙台梭利教学法。</w:t>
            </w:r>
          </w:p>
        </w:tc>
      </w:tr>
      <w:tr w14:paraId="724D21E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2309760">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教学方法</w:t>
            </w:r>
          </w:p>
        </w:tc>
        <w:tc>
          <w:tcPr>
            <w:tcW w:w="9394" w:type="dxa"/>
            <w:gridSpan w:val="2"/>
            <w:tcBorders>
              <w:tl2br w:val="nil"/>
              <w:tr2bl w:val="nil"/>
            </w:tcBorders>
            <w:vAlign w:val="center"/>
          </w:tcPr>
          <w:p w14:paraId="256F6A57">
            <w:pPr>
              <w:spacing w:line="360" w:lineRule="auto"/>
              <w:ind w:hanging="8"/>
              <w:rPr>
                <w:rFonts w:ascii="Times New Roman" w:hAnsi="Times New Roman"/>
                <w:sz w:val="24"/>
                <w:szCs w:val="24"/>
              </w:rPr>
            </w:pPr>
            <w:r>
              <w:rPr>
                <w:rFonts w:hint="eastAsia" w:ascii="Times New Roman" w:hAnsi="宋体"/>
                <w:sz w:val="24"/>
                <w:szCs w:val="24"/>
              </w:rPr>
              <w:t>讲授法、问答法、讨论法</w:t>
            </w:r>
          </w:p>
        </w:tc>
      </w:tr>
      <w:tr w14:paraId="5AC4678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17E6240">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教学用具</w:t>
            </w:r>
          </w:p>
        </w:tc>
        <w:tc>
          <w:tcPr>
            <w:tcW w:w="9394" w:type="dxa"/>
            <w:gridSpan w:val="2"/>
            <w:tcBorders>
              <w:tl2br w:val="nil"/>
              <w:tr2bl w:val="nil"/>
            </w:tcBorders>
            <w:vAlign w:val="center"/>
          </w:tcPr>
          <w:p w14:paraId="3ED1F5FD">
            <w:pPr>
              <w:spacing w:line="360" w:lineRule="auto"/>
              <w:ind w:hanging="8"/>
              <w:rPr>
                <w:rFonts w:ascii="Times New Roman" w:hAnsi="Times New Roman"/>
                <w:sz w:val="24"/>
                <w:szCs w:val="24"/>
              </w:rPr>
            </w:pPr>
            <w:r>
              <w:rPr>
                <w:rFonts w:hint="eastAsia" w:ascii="Times New Roman" w:hAnsi="宋体"/>
                <w:sz w:val="24"/>
                <w:szCs w:val="24"/>
              </w:rPr>
              <w:t>电脑、投影仪、</w:t>
            </w:r>
            <w:r>
              <w:rPr>
                <w:rFonts w:ascii="Times New Roman" w:hAnsi="宋体"/>
                <w:sz w:val="24"/>
                <w:szCs w:val="24"/>
              </w:rPr>
              <w:t>多媒体</w:t>
            </w:r>
            <w:r>
              <w:rPr>
                <w:rFonts w:hint="eastAsia" w:ascii="Times New Roman" w:hAnsi="宋体"/>
                <w:sz w:val="24"/>
                <w:szCs w:val="24"/>
              </w:rPr>
              <w:t>课件、教材</w:t>
            </w:r>
          </w:p>
        </w:tc>
      </w:tr>
      <w:tr w14:paraId="07D5713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2783B58">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教学设计</w:t>
            </w:r>
          </w:p>
        </w:tc>
        <w:tc>
          <w:tcPr>
            <w:tcW w:w="9394" w:type="dxa"/>
            <w:gridSpan w:val="2"/>
            <w:tcBorders>
              <w:tl2br w:val="nil"/>
              <w:tr2bl w:val="nil"/>
            </w:tcBorders>
            <w:vAlign w:val="center"/>
          </w:tcPr>
          <w:p w14:paraId="27174955">
            <w:pPr>
              <w:spacing w:line="360" w:lineRule="auto"/>
              <w:ind w:hanging="8"/>
              <w:rPr>
                <w:rFonts w:ascii="Times New Roman" w:hAnsi="宋体"/>
                <w:sz w:val="24"/>
                <w:szCs w:val="24"/>
              </w:rPr>
            </w:pPr>
            <w:r>
              <w:rPr>
                <w:rFonts w:hint="eastAsia" w:ascii="Times New Roman" w:hAnsi="宋体"/>
                <w:kern w:val="0"/>
                <w:sz w:val="24"/>
                <w:szCs w:val="24"/>
              </w:rPr>
              <w:t>第</w:t>
            </w:r>
            <w:r>
              <w:rPr>
                <w:rFonts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rPr>
              <w:t>考勤（2min）--知识讲解（</w:t>
            </w:r>
            <w:r>
              <w:rPr>
                <w:rFonts w:ascii="Times New Roman" w:hAnsi="宋体"/>
                <w:sz w:val="24"/>
                <w:szCs w:val="24"/>
              </w:rPr>
              <w:t>40</w:t>
            </w:r>
            <w:r>
              <w:rPr>
                <w:rFonts w:hint="eastAsia" w:ascii="Times New Roman" w:hAnsi="宋体"/>
                <w:sz w:val="24"/>
                <w:szCs w:val="24"/>
              </w:rPr>
              <w:t>min）--课堂小结（3min）</w:t>
            </w:r>
          </w:p>
          <w:p w14:paraId="1E6C2A71">
            <w:pPr>
              <w:spacing w:line="360" w:lineRule="auto"/>
              <w:ind w:hanging="8"/>
              <w:rPr>
                <w:rFonts w:ascii="Times New Roman" w:hAnsi="宋体"/>
                <w:sz w:val="24"/>
                <w:szCs w:val="24"/>
              </w:rPr>
            </w:pPr>
            <w:r>
              <w:rPr>
                <w:rFonts w:hint="eastAsia" w:ascii="Times New Roman" w:hAnsi="宋体"/>
                <w:kern w:val="0"/>
                <w:sz w:val="24"/>
                <w:szCs w:val="24"/>
              </w:rPr>
              <w:t>第</w:t>
            </w:r>
            <w:r>
              <w:rPr>
                <w:rFonts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rPr>
              <w:t>知识讲解（40min）--课堂小结（3min）--作业布置（2min）</w:t>
            </w:r>
          </w:p>
        </w:tc>
      </w:tr>
      <w:tr w14:paraId="604749A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7E5F00" w:themeFill="accent4" w:themeFillShade="7F"/>
            <w:vAlign w:val="center"/>
          </w:tcPr>
          <w:p w14:paraId="659A819D">
            <w:pPr>
              <w:spacing w:line="360" w:lineRule="auto"/>
              <w:ind w:hanging="8"/>
              <w:jc w:val="center"/>
              <w:rPr>
                <w:rFonts w:ascii="宋体" w:hAnsi="宋体" w:cs="宋体"/>
                <w:b/>
                <w:bCs w:val="0"/>
                <w:color w:val="FFFFFF" w:themeColor="background1"/>
                <w:sz w:val="28"/>
                <w:szCs w:val="28"/>
                <w14:textFill>
                  <w14:solidFill>
                    <w14:schemeClr w14:val="bg1"/>
                  </w14:solidFill>
                </w14:textFill>
              </w:rPr>
            </w:pPr>
            <w:r>
              <w:rPr>
                <w:rFonts w:hint="eastAsia" w:ascii="宋体" w:hAnsi="宋体" w:cs="宋体"/>
                <w:b/>
                <w:bCs w:val="0"/>
                <w:color w:val="FFFFFF" w:themeColor="background1"/>
                <w:sz w:val="28"/>
                <w:szCs w:val="28"/>
                <w14:textFill>
                  <w14:solidFill>
                    <w14:schemeClr w14:val="bg1"/>
                  </w14:solidFill>
                </w14:textFill>
              </w:rPr>
              <w:t>教学过程</w:t>
            </w:r>
          </w:p>
        </w:tc>
        <w:tc>
          <w:tcPr>
            <w:tcW w:w="7479" w:type="dxa"/>
            <w:tcBorders>
              <w:tl2br w:val="nil"/>
              <w:tr2bl w:val="nil"/>
            </w:tcBorders>
            <w:shd w:val="clear" w:color="auto" w:fill="7E5F00" w:themeFill="accent4" w:themeFillShade="7F"/>
            <w:vAlign w:val="center"/>
          </w:tcPr>
          <w:p w14:paraId="793C6112">
            <w:pPr>
              <w:spacing w:line="264" w:lineRule="auto"/>
              <w:jc w:val="center"/>
              <w:rPr>
                <w:rFonts w:ascii="Times New Roman" w:hAnsi="Times New Roman"/>
                <w:b/>
                <w:color w:val="FFFFFF" w:themeColor="background1"/>
                <w:sz w:val="28"/>
                <w:szCs w:val="28"/>
                <w14:textFill>
                  <w14:solidFill>
                    <w14:schemeClr w14:val="bg1"/>
                  </w14:solidFill>
                </w14:textFill>
              </w:rPr>
            </w:pPr>
            <w:r>
              <w:rPr>
                <w:rFonts w:hint="eastAsia" w:ascii="Times New Roman" w:hAnsi="Times New Roman"/>
                <w:b/>
                <w:color w:val="FFFFFF" w:themeColor="background1"/>
                <w:sz w:val="28"/>
                <w:szCs w:val="28"/>
                <w14:textFill>
                  <w14:solidFill>
                    <w14:schemeClr w14:val="bg1"/>
                  </w14:solidFill>
                </w14:textFill>
              </w:rPr>
              <w:t>主要教学内容及步骤</w:t>
            </w:r>
          </w:p>
        </w:tc>
        <w:tc>
          <w:tcPr>
            <w:tcW w:w="1915" w:type="dxa"/>
            <w:tcBorders>
              <w:tl2br w:val="nil"/>
              <w:tr2bl w:val="nil"/>
            </w:tcBorders>
            <w:shd w:val="clear" w:color="auto" w:fill="7E5F00" w:themeFill="accent4" w:themeFillShade="7F"/>
            <w:vAlign w:val="center"/>
          </w:tcPr>
          <w:p w14:paraId="05DFC5F5">
            <w:pPr>
              <w:spacing w:line="264" w:lineRule="auto"/>
              <w:jc w:val="center"/>
              <w:rPr>
                <w:rFonts w:ascii="Times New Roman" w:hAnsi="Times New Roman"/>
                <w:b/>
                <w:color w:val="FFFFFF" w:themeColor="background1"/>
                <w:sz w:val="28"/>
                <w:szCs w:val="28"/>
                <w14:textFill>
                  <w14:solidFill>
                    <w14:schemeClr w14:val="bg1"/>
                  </w14:solidFill>
                </w14:textFill>
              </w:rPr>
            </w:pPr>
            <w:r>
              <w:rPr>
                <w:rFonts w:ascii="Times New Roman" w:hAnsi="Times New Roman"/>
                <w:b/>
                <w:color w:val="FFFFFF" w:themeColor="background1"/>
                <w:sz w:val="28"/>
                <w:szCs w:val="28"/>
                <w14:textFill>
                  <w14:solidFill>
                    <w14:schemeClr w14:val="bg1"/>
                  </w14:solidFill>
                </w14:textFill>
              </w:rPr>
              <w:t>设计意图</w:t>
            </w:r>
          </w:p>
        </w:tc>
      </w:tr>
      <w:tr w14:paraId="0F43C6C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AE52E7C">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考勤</w:t>
            </w:r>
          </w:p>
          <w:p w14:paraId="19A01A62">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（2min）</w:t>
            </w:r>
          </w:p>
        </w:tc>
        <w:tc>
          <w:tcPr>
            <w:tcW w:w="7479" w:type="dxa"/>
            <w:tcBorders>
              <w:tl2br w:val="nil"/>
              <w:tr2bl w:val="nil"/>
            </w:tcBorders>
            <w:vAlign w:val="center"/>
          </w:tcPr>
          <w:p w14:paraId="79AF1E13">
            <w:pPr>
              <w:spacing w:line="360" w:lineRule="auto"/>
              <w:jc w:val="left"/>
              <w:rPr>
                <w:rFonts w:ascii="Times New Roman" w:hAnsi="Times New Roman"/>
                <w:color w:val="C00000"/>
                <w:sz w:val="24"/>
                <w:szCs w:val="24"/>
              </w:rPr>
            </w:pPr>
            <w:r>
              <w:rPr>
                <w:rFonts w:hint="eastAsia" w:ascii="Times New Roman" w:hAnsi="Times New Roman"/>
                <w:color w:val="C00000"/>
                <w:sz w:val="24"/>
                <w:szCs w:val="24"/>
              </w:rPr>
              <w:t>■【教师】清点上课人数，记录好考勤</w:t>
            </w:r>
          </w:p>
          <w:p w14:paraId="12D39B69">
            <w:pPr>
              <w:spacing w:line="360" w:lineRule="auto"/>
              <w:jc w:val="left"/>
              <w:rPr>
                <w:rFonts w:ascii="Times New Roman" w:hAnsi="Times New Roman"/>
                <w:sz w:val="24"/>
                <w:szCs w:val="24"/>
              </w:rPr>
            </w:pPr>
            <w:r>
              <w:rPr>
                <w:rFonts w:hint="eastAsia" w:ascii="Times New Roman" w:hAnsi="Times New Roman"/>
                <w:color w:val="548235" w:themeColor="accent6" w:themeShade="BF"/>
                <w:sz w:val="24"/>
                <w:szCs w:val="24"/>
              </w:rPr>
              <w:t>■【学生】班干部报请假人员及原因</w:t>
            </w:r>
          </w:p>
        </w:tc>
        <w:tc>
          <w:tcPr>
            <w:tcW w:w="1915" w:type="dxa"/>
            <w:tcBorders>
              <w:tl2br w:val="nil"/>
              <w:tr2bl w:val="nil"/>
            </w:tcBorders>
            <w:vAlign w:val="center"/>
          </w:tcPr>
          <w:p w14:paraId="1EF96D70">
            <w:pPr>
              <w:spacing w:line="360" w:lineRule="auto"/>
              <w:rPr>
                <w:rFonts w:ascii="Times New Roman" w:hAnsi="Times New Roman"/>
                <w:sz w:val="24"/>
                <w:szCs w:val="24"/>
              </w:rPr>
            </w:pPr>
            <w:r>
              <w:rPr>
                <w:rFonts w:hint="eastAsia" w:ascii="Times New Roman" w:hAnsi="Times New Roman"/>
                <w:sz w:val="24"/>
                <w:szCs w:val="24"/>
              </w:rPr>
              <w:t>培养学生的组织纪律性,掌握学生的出勤情况</w:t>
            </w:r>
          </w:p>
        </w:tc>
      </w:tr>
      <w:tr w14:paraId="7579464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B4C0E7A">
            <w:pPr>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知识讲解</w:t>
            </w:r>
          </w:p>
          <w:p w14:paraId="745C787C">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（40min）</w:t>
            </w:r>
          </w:p>
        </w:tc>
        <w:tc>
          <w:tcPr>
            <w:tcW w:w="7479" w:type="dxa"/>
            <w:tcBorders>
              <w:tl2br w:val="nil"/>
              <w:tr2bl w:val="nil"/>
            </w:tcBorders>
            <w:vAlign w:val="center"/>
          </w:tcPr>
          <w:p w14:paraId="52DF314D">
            <w:pPr>
              <w:spacing w:line="360" w:lineRule="auto"/>
              <w:rPr>
                <w:rFonts w:ascii="Times New Roman" w:hAnsi="Times New Roman"/>
                <w:color w:val="C00000"/>
                <w:sz w:val="24"/>
                <w:szCs w:val="24"/>
              </w:rPr>
            </w:pPr>
            <w:bookmarkStart w:id="1" w:name="OLE_LINK12"/>
            <w:r>
              <w:rPr>
                <w:rFonts w:hint="eastAsia" w:ascii="Times New Roman" w:hAnsi="Times New Roman"/>
                <w:color w:val="C00000"/>
                <w:sz w:val="24"/>
                <w:szCs w:val="24"/>
              </w:rPr>
              <w:t>【教师】</w:t>
            </w:r>
            <w:bookmarkEnd w:id="1"/>
            <w:r>
              <w:rPr>
                <w:rFonts w:hint="eastAsia" w:ascii="Times New Roman" w:hAnsi="Times New Roman"/>
                <w:color w:val="C00000"/>
                <w:sz w:val="24"/>
                <w:szCs w:val="24"/>
              </w:rPr>
              <w:t>英国的学前教育</w:t>
            </w:r>
          </w:p>
          <w:p w14:paraId="285676E9">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一、第二次世界大战前英国的学前教育</w:t>
            </w:r>
          </w:p>
          <w:p w14:paraId="0DBDBDFA">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（一）保育学校的创立与发展</w:t>
            </w:r>
          </w:p>
          <w:p w14:paraId="5B003F33">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（二）《费舍法案》与幼儿教育</w:t>
            </w:r>
          </w:p>
          <w:p w14:paraId="7C99F6AB">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（三）哈多报告与幼儿教育</w:t>
            </w:r>
          </w:p>
          <w:p w14:paraId="5CFBAAF6">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（四）幼儿教育方法的改革</w:t>
            </w:r>
          </w:p>
          <w:p w14:paraId="0DB60C9A">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二、第二次世界大战后学前教育的发展</w:t>
            </w:r>
          </w:p>
          <w:p w14:paraId="4FE45C3A">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（一）《巴特勒法案》</w:t>
            </w:r>
          </w:p>
          <w:p w14:paraId="4008A529">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（二）幼儿游戏班运动</w:t>
            </w:r>
          </w:p>
          <w:p w14:paraId="5B744C1C">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（三）教育白皮书</w:t>
            </w:r>
          </w:p>
          <w:p w14:paraId="6F40B609">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（四）当代英国学前教育的发展</w:t>
            </w:r>
          </w:p>
          <w:p w14:paraId="44438A6C">
            <w:pPr>
              <w:spacing w:line="360" w:lineRule="auto"/>
              <w:ind w:firstLine="720" w:firstLineChars="3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1.幼儿凭证计划</w:t>
            </w:r>
          </w:p>
          <w:p w14:paraId="03ACE072">
            <w:pPr>
              <w:spacing w:line="360" w:lineRule="auto"/>
              <w:ind w:firstLine="720" w:firstLineChars="3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2.学前教育目标提案</w:t>
            </w:r>
          </w:p>
          <w:p w14:paraId="2DE159F8">
            <w:pPr>
              <w:autoSpaceDE w:val="0"/>
              <w:spacing w:line="360" w:lineRule="auto"/>
              <w:jc w:val="left"/>
              <w:rPr>
                <w:rFonts w:hint="eastAsia" w:ascii="Times New Roman" w:hAnsi="Times New Roman"/>
                <w:color w:val="C00000"/>
                <w:sz w:val="24"/>
                <w:szCs w:val="24"/>
              </w:rPr>
            </w:pPr>
            <w:r>
              <w:rPr>
                <w:rFonts w:hint="eastAsia" w:ascii="Times New Roman" w:hAnsi="Times New Roman"/>
                <w:color w:val="C00000"/>
                <w:sz w:val="24"/>
                <w:szCs w:val="24"/>
              </w:rPr>
              <w:t>【教师】法国的学前教育</w:t>
            </w:r>
          </w:p>
          <w:p w14:paraId="4C68AFC5">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一、20世纪上半期的学前教育</w:t>
            </w:r>
          </w:p>
          <w:p w14:paraId="750996B5">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1881年，法国通过《费里法案》，提出了国民教育的三个原则：“免费、义务、世俗化”。</w:t>
            </w:r>
          </w:p>
          <w:p w14:paraId="765FC093">
            <w:pPr>
              <w:spacing w:line="360" w:lineRule="auto"/>
              <w:ind w:firstLine="482" w:firstLineChars="200"/>
              <w:rPr>
                <w:rFonts w:hint="eastAsia"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二、20世纪下半期学前教育的改革与发展</w:t>
            </w:r>
          </w:p>
          <w:p w14:paraId="4BD36680">
            <w:pPr>
              <w:spacing w:line="360" w:lineRule="auto"/>
              <w:ind w:firstLine="480" w:firstLineChars="20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（一）学前教育改革的历史进程</w:t>
            </w:r>
          </w:p>
          <w:p w14:paraId="5CD9A06C">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（二）法国学前教育的概况</w:t>
            </w:r>
          </w:p>
          <w:p w14:paraId="6CC4CC52">
            <w:pPr>
              <w:autoSpaceDE w:val="0"/>
              <w:spacing w:line="360" w:lineRule="auto"/>
              <w:jc w:val="left"/>
              <w:rPr>
                <w:rFonts w:ascii="Times New Roman" w:hAnsi="Times New Roman"/>
                <w:color w:val="C00000"/>
                <w:sz w:val="24"/>
                <w:szCs w:val="24"/>
              </w:rPr>
            </w:pPr>
            <w:r>
              <w:rPr>
                <w:rFonts w:hint="eastAsia" w:ascii="Times New Roman" w:hAnsi="Times New Roman"/>
                <w:color w:val="C00000"/>
                <w:sz w:val="24"/>
                <w:szCs w:val="24"/>
              </w:rPr>
              <w:t>【教师】德国的学前教育</w:t>
            </w:r>
          </w:p>
          <w:p w14:paraId="134A8FAF">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一、第二次世界大战以前德国的学前教育</w:t>
            </w:r>
          </w:p>
          <w:p w14:paraId="539A1ABC">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第一次世界大战后，德国废除君主政体，建立资产阶级的魏玛共和国。1922年，德国政府制定了《青少年法》：其中强调要建立“白天的幼儿园之家”，包括幼儿园、托儿所及幼儿保育机构等。1933年，德国陷入了纳粹党统治时期。</w:t>
            </w:r>
          </w:p>
          <w:p w14:paraId="038E6B20">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二、战后联邦德国的学前教育</w:t>
            </w:r>
          </w:p>
          <w:p w14:paraId="0C051ED5">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（一）学前教育的思想及内容</w:t>
            </w:r>
          </w:p>
          <w:p w14:paraId="084C7EE2">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（二）学前教育机构的主要类型</w:t>
            </w:r>
          </w:p>
          <w:p w14:paraId="00A99D65">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1.普通幼儿园</w:t>
            </w:r>
          </w:p>
          <w:p w14:paraId="24DEEA32">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2.特殊幼儿园</w:t>
            </w:r>
          </w:p>
          <w:p w14:paraId="27CDFD8C">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3.学校附设的幼儿园</w:t>
            </w:r>
          </w:p>
          <w:p w14:paraId="4B5AE7C6">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（三）学前教育的师资</w:t>
            </w:r>
          </w:p>
          <w:p w14:paraId="3D6C8CA3">
            <w:pPr>
              <w:spacing w:line="360" w:lineRule="auto"/>
              <w:ind w:firstLine="480" w:firstLineChars="200"/>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（四）联邦德国学前教育的管理和政策</w:t>
            </w:r>
          </w:p>
          <w:p w14:paraId="7F8944F8">
            <w:pPr>
              <w:spacing w:line="360" w:lineRule="auto"/>
              <w:rPr>
                <w:rFonts w:hint="eastAsia" w:ascii="宋体" w:hAnsi="宋体" w:cs="宋体"/>
                <w:color w:val="C00000"/>
                <w:sz w:val="24"/>
                <w:szCs w:val="24"/>
                <w:lang w:bidi="ar"/>
              </w:rPr>
            </w:pPr>
            <w:r>
              <w:rPr>
                <w:rFonts w:hint="eastAsia" w:ascii="宋体" w:hAnsi="宋体" w:cs="宋体"/>
                <w:color w:val="C00000"/>
                <w:sz w:val="24"/>
                <w:szCs w:val="24"/>
                <w:lang w:bidi="ar"/>
              </w:rPr>
              <w:t>【教师】美国的学前教育</w:t>
            </w:r>
          </w:p>
          <w:p w14:paraId="4D94863F">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一、20世纪上半期的学前教育</w:t>
            </w:r>
          </w:p>
          <w:p w14:paraId="535F8871">
            <w:pPr>
              <w:spacing w:line="360" w:lineRule="auto"/>
              <w:ind w:firstLine="480" w:firstLineChars="200"/>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（一）进步主义幼儿园运动</w:t>
            </w:r>
          </w:p>
          <w:p w14:paraId="1EF09E41">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（二）昙花一现的“蒙台梭利热”</w:t>
            </w:r>
          </w:p>
          <w:p w14:paraId="4F856D8D">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二、20世纪下半期学前教育的发展</w:t>
            </w:r>
          </w:p>
          <w:p w14:paraId="37C705FE">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（一）学前教育机会均等运动</w:t>
            </w:r>
          </w:p>
          <w:p w14:paraId="4965CB90">
            <w:pPr>
              <w:spacing w:line="360" w:lineRule="auto"/>
              <w:ind w:firstLine="480" w:firstLineChars="200"/>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（二）开端计划</w:t>
            </w:r>
          </w:p>
          <w:p w14:paraId="3C70C6F2">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（三）幼儿智力开发运动</w:t>
            </w:r>
          </w:p>
          <w:p w14:paraId="5DE0B04F">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三、杜威的学前教育思想</w:t>
            </w:r>
          </w:p>
          <w:p w14:paraId="7E6446C5">
            <w:pPr>
              <w:spacing w:line="360" w:lineRule="auto"/>
              <w:ind w:firstLine="480" w:firstLineChars="200"/>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（一）杜威的生平和教育活动</w:t>
            </w:r>
          </w:p>
          <w:p w14:paraId="658743DA">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（二）杜威论教育的本质</w:t>
            </w:r>
          </w:p>
          <w:p w14:paraId="6519BB41">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1.教育即生活</w:t>
            </w:r>
          </w:p>
          <w:p w14:paraId="68404D81">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2.学校即社会</w:t>
            </w:r>
          </w:p>
          <w:p w14:paraId="3ACC1912">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3.教育即生长</w:t>
            </w:r>
          </w:p>
          <w:p w14:paraId="3D9BBFCF">
            <w:pPr>
              <w:spacing w:line="360" w:lineRule="auto"/>
              <w:ind w:firstLine="480" w:firstLineChars="200"/>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4.教育即经验的改造或改组</w:t>
            </w:r>
          </w:p>
          <w:p w14:paraId="475C08D2">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（三）杜威的教学论——“做中学”的教学方法</w:t>
            </w:r>
          </w:p>
          <w:p w14:paraId="184599E3">
            <w:pPr>
              <w:spacing w:line="360" w:lineRule="auto"/>
              <w:ind w:firstLine="480" w:firstLineChars="200"/>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（四）杜威的“儿童中心”论</w:t>
            </w:r>
          </w:p>
          <w:p w14:paraId="18D2798A">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（五）杜威教育思想的影响</w:t>
            </w:r>
          </w:p>
        </w:tc>
        <w:tc>
          <w:tcPr>
            <w:tcW w:w="1915" w:type="dxa"/>
            <w:tcBorders>
              <w:tl2br w:val="nil"/>
              <w:tr2bl w:val="nil"/>
            </w:tcBorders>
            <w:vAlign w:val="center"/>
          </w:tcPr>
          <w:p w14:paraId="29601107">
            <w:pPr>
              <w:spacing w:line="360" w:lineRule="auto"/>
              <w:rPr>
                <w:rFonts w:ascii="Times New Roman" w:hAnsi="Times New Roman"/>
                <w:sz w:val="24"/>
                <w:szCs w:val="24"/>
              </w:rPr>
            </w:pPr>
            <w:r>
              <w:rPr>
                <w:rFonts w:hint="eastAsia" w:ascii="Times New Roman" w:hAnsi="Times New Roman"/>
                <w:sz w:val="24"/>
                <w:szCs w:val="24"/>
              </w:rPr>
              <w:t>通过案例导入，讲解</w:t>
            </w:r>
            <w:bookmarkStart w:id="2" w:name="OLE_LINK5"/>
            <w:bookmarkStart w:id="3" w:name="OLE_LINK6"/>
            <w:r>
              <w:rPr>
                <w:rFonts w:hint="eastAsia" w:ascii="Times New Roman" w:hAnsi="Times New Roman"/>
                <w:sz w:val="24"/>
                <w:szCs w:val="24"/>
              </w:rPr>
              <w:t>英、法、德、美国家的学前教育发展，</w:t>
            </w:r>
            <w:bookmarkEnd w:id="2"/>
            <w:bookmarkEnd w:id="3"/>
            <w:r>
              <w:rPr>
                <w:rFonts w:hint="eastAsia" w:ascii="Times New Roman" w:hAnsi="Times New Roman"/>
                <w:sz w:val="24"/>
                <w:szCs w:val="24"/>
              </w:rPr>
              <w:t>从而激发学生的学习欲望。</w:t>
            </w:r>
          </w:p>
        </w:tc>
      </w:tr>
      <w:tr w14:paraId="7B94EDB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6D712FA">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课堂小结（3min）</w:t>
            </w:r>
          </w:p>
        </w:tc>
        <w:tc>
          <w:tcPr>
            <w:tcW w:w="7479" w:type="dxa"/>
            <w:tcBorders>
              <w:tl2br w:val="nil"/>
              <w:tr2bl w:val="nil"/>
            </w:tcBorders>
            <w:vAlign w:val="center"/>
          </w:tcPr>
          <w:p w14:paraId="50EDBC9C">
            <w:pPr>
              <w:spacing w:line="360" w:lineRule="auto"/>
              <w:rPr>
                <w:rFonts w:ascii="宋体" w:hAnsi="宋体" w:cs="宋体"/>
                <w:b/>
                <w:color w:val="C00000"/>
                <w:sz w:val="24"/>
                <w:szCs w:val="24"/>
                <w:lang w:bidi="ar"/>
              </w:rPr>
            </w:pPr>
            <w:r>
              <w:rPr>
                <w:rFonts w:hint="eastAsia" w:ascii="宋体" w:hAnsi="宋体" w:cs="宋体"/>
                <w:color w:val="C00000"/>
                <w:sz w:val="24"/>
                <w:szCs w:val="24"/>
                <w:lang w:bidi="ar"/>
              </w:rPr>
              <w:t>【教师】回顾和总结本节课的知识点。</w:t>
            </w:r>
          </w:p>
          <w:p w14:paraId="2191CA64">
            <w:pPr>
              <w:spacing w:line="360" w:lineRule="auto"/>
              <w:ind w:firstLine="480" w:firstLineChars="200"/>
              <w:rPr>
                <w:rFonts w:hAnsi="宋体"/>
                <w:bCs/>
                <w:sz w:val="24"/>
                <w:szCs w:val="24"/>
              </w:rPr>
            </w:pPr>
            <w:r>
              <w:rPr>
                <w:rFonts w:hint="eastAsia" w:hAnsi="宋体"/>
                <w:bCs/>
                <w:sz w:val="24"/>
                <w:szCs w:val="24"/>
              </w:rPr>
              <w:t>这节课我们一起学习了解了，英、法、德、美国家的学前教育的发展历程。</w:t>
            </w:r>
          </w:p>
        </w:tc>
        <w:tc>
          <w:tcPr>
            <w:tcW w:w="1915" w:type="dxa"/>
            <w:tcBorders>
              <w:tl2br w:val="nil"/>
              <w:tr2bl w:val="nil"/>
            </w:tcBorders>
            <w:vAlign w:val="center"/>
          </w:tcPr>
          <w:p w14:paraId="78E266BA">
            <w:pPr>
              <w:spacing w:line="360" w:lineRule="auto"/>
              <w:rPr>
                <w:rFonts w:ascii="Times New Roman" w:hAnsi="Times New Roman"/>
                <w:bCs/>
                <w:sz w:val="24"/>
                <w:szCs w:val="24"/>
              </w:rPr>
            </w:pPr>
            <w:r>
              <w:rPr>
                <w:rFonts w:hint="eastAsia" w:ascii="Times New Roman" w:hAnsi="Times New Roman"/>
                <w:bCs/>
                <w:sz w:val="24"/>
                <w:szCs w:val="24"/>
              </w:rPr>
              <w:t>通过对所学知识的回顾，培养学生的归纳总结能力</w:t>
            </w:r>
          </w:p>
        </w:tc>
      </w:tr>
      <w:tr w14:paraId="38A9961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1104824">
            <w:pPr>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知识讲解</w:t>
            </w:r>
          </w:p>
          <w:p w14:paraId="0CC0306D">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（40min）</w:t>
            </w:r>
          </w:p>
        </w:tc>
        <w:tc>
          <w:tcPr>
            <w:tcW w:w="7479" w:type="dxa"/>
            <w:tcBorders>
              <w:tl2br w:val="nil"/>
              <w:tr2bl w:val="nil"/>
            </w:tcBorders>
            <w:vAlign w:val="center"/>
          </w:tcPr>
          <w:p w14:paraId="41E7329D">
            <w:pPr>
              <w:spacing w:line="360" w:lineRule="auto"/>
              <w:rPr>
                <w:rFonts w:ascii="宋体" w:hAnsi="宋体" w:cs="宋体"/>
                <w:color w:val="CC0066"/>
                <w:sz w:val="24"/>
                <w:szCs w:val="24"/>
                <w:lang w:bidi="ar"/>
              </w:rPr>
            </w:pPr>
            <w:bookmarkStart w:id="4" w:name="OLE_LINK13"/>
            <w:bookmarkStart w:id="5" w:name="OLE_LINK14"/>
            <w:r>
              <w:rPr>
                <w:rFonts w:hint="eastAsia" w:ascii="宋体" w:hAnsi="宋体" w:cs="宋体"/>
                <w:color w:val="CC0066"/>
                <w:sz w:val="24"/>
                <w:szCs w:val="24"/>
                <w:lang w:bidi="ar"/>
              </w:rPr>
              <w:t>【教师】</w:t>
            </w:r>
            <w:bookmarkEnd w:id="4"/>
            <w:bookmarkEnd w:id="5"/>
            <w:r>
              <w:rPr>
                <w:rFonts w:hint="eastAsia" w:ascii="宋体" w:hAnsi="宋体" w:cs="宋体"/>
                <w:color w:val="CC0066"/>
                <w:sz w:val="24"/>
                <w:szCs w:val="24"/>
                <w:lang w:bidi="ar"/>
              </w:rPr>
              <w:t>意大利的学前教育</w:t>
            </w:r>
          </w:p>
          <w:p w14:paraId="4670C0E1">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一、蒙台梭利的生平及教育活动</w:t>
            </w:r>
          </w:p>
          <w:p w14:paraId="31474A50">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1870年8月，蒙台梭利出生于意大利。</w:t>
            </w:r>
          </w:p>
          <w:p w14:paraId="3A0D351B">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1886年，蒙台梭利进入高等技术学院，学习现代语言和自然科学，她最喜欢的和学的最好的是数学。1890年，她进入罗马大学医学院，成为意大利教育史上第一个学医的女生。1896年，蒙台梭利凭借精彩的演讲，成为罗马大学医学院第一个女毕业生，成为意大利第一位女博士。1901年，蒙台梭利离开国立特殊儿童学校，开始致力于正常儿童的教育，寻求把智力缺陷儿童的教育方法应用于正常儿童的可能性。1907年，“儿童之家”成立。《童年的秘密》是解答幼儿之谜并阐述儿童教育观的著作。《蒙台梭利方法》是蒙台梭利对第一所“儿童之家”进行的教育实验和研究的全面总结。</w:t>
            </w:r>
          </w:p>
          <w:p w14:paraId="3257A292">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二、蒙台梭利的儿童发展与教育思想</w:t>
            </w:r>
          </w:p>
          <w:p w14:paraId="5D4E9BEC">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（一）儿童具有内在的生命力</w:t>
            </w:r>
          </w:p>
          <w:p w14:paraId="1107A730">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（二）儿童心理发展的特点</w:t>
            </w:r>
          </w:p>
          <w:p w14:paraId="6096D7A9">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1.儿童具有独特的“心里胚胎期”。</w:t>
            </w:r>
          </w:p>
          <w:p w14:paraId="0DD7E774">
            <w:pPr>
              <w:spacing w:line="360" w:lineRule="auto"/>
              <w:ind w:firstLine="480" w:firstLineChars="20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2.儿童具有“吸收性心理”。</w:t>
            </w:r>
          </w:p>
          <w:p w14:paraId="7DCF56E7">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3.儿童心理发展有各种“敏感期”。</w:t>
            </w:r>
          </w:p>
          <w:p w14:paraId="6CBA97A7">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三、论自由、纪律与工作</w:t>
            </w:r>
          </w:p>
          <w:p w14:paraId="549D4AA1">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在人们的想象中，实施自由教育的“儿童之家”肯定是乱哄哄的，但恰恰相反，良好的秩序是儿童之家最大的特色。</w:t>
            </w:r>
          </w:p>
          <w:p w14:paraId="324D6B41">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对于纪律与自由的关系，蒙台梭利有独特的见解。她指出“自由与纪律如同一个徽章的两个面，因为科学的自由会导致纪律”。</w:t>
            </w:r>
          </w:p>
          <w:p w14:paraId="46BBA0B4">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四、蒙台梭利教学法</w:t>
            </w:r>
          </w:p>
          <w:p w14:paraId="7205A343">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（一）感官训练</w:t>
            </w:r>
          </w:p>
          <w:p w14:paraId="6FECEE61">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（二）读写算的训练</w:t>
            </w:r>
          </w:p>
          <w:p w14:paraId="6B976054">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（三）肌肉训练</w:t>
            </w:r>
          </w:p>
          <w:p w14:paraId="1C9A9027">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（四）实际生活的训练</w:t>
            </w:r>
          </w:p>
          <w:p w14:paraId="5603A98F">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五、蒙台梭利教育思想的影响</w:t>
            </w:r>
          </w:p>
          <w:p w14:paraId="4C698355">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尽管对蒙台梭利思想和方法的批评一直存在，但谁也不能否认其影响是巨大的。蒙台梭利教育体系自20世纪产生以来，在实际范围内产生了广泛的影响。</w:t>
            </w:r>
          </w:p>
          <w:p w14:paraId="7DE4A78C">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蒙台梭利在吸收自然科学的研究成果、秉承卢梭等人的“儿童本位”和“内发论”传统的基础上，提出在世界范围内广为传播的“蒙台梭利法”。她重视早期教育，认为儿童发展的原动力源自儿童内部；儿童心理发展有其独特的特点，重视儿童发展的敏感期等；在“儿童之家”教育实践基础上，发明了一系列蒙台梭利教具。蒙台梭利的思想对今天的教育仍有启示作用。</w:t>
            </w:r>
          </w:p>
          <w:p w14:paraId="704CA44C">
            <w:pPr>
              <w:spacing w:line="360" w:lineRule="auto"/>
              <w:rPr>
                <w:rFonts w:ascii="宋体" w:hAnsi="宋体" w:cs="宋体"/>
                <w:color w:val="CC0066"/>
                <w:sz w:val="24"/>
                <w:szCs w:val="24"/>
                <w:lang w:bidi="ar"/>
              </w:rPr>
            </w:pPr>
            <w:r>
              <w:rPr>
                <w:rFonts w:hint="eastAsia" w:ascii="宋体" w:hAnsi="宋体" w:cs="宋体"/>
                <w:color w:val="CC0066"/>
                <w:sz w:val="24"/>
                <w:szCs w:val="24"/>
                <w:lang w:bidi="ar"/>
              </w:rPr>
              <w:t>【教师】日本的学前教育</w:t>
            </w:r>
          </w:p>
          <w:p w14:paraId="3B719998">
            <w:pPr>
              <w:spacing w:line="360" w:lineRule="auto"/>
              <w:ind w:firstLine="482" w:firstLineChars="200"/>
              <w:rPr>
                <w:rFonts w:hint="eastAsia"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一、学前教育机构的建立和发展</w:t>
            </w:r>
          </w:p>
          <w:p w14:paraId="10114642">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二、日本政府的学前教育政策和措施</w:t>
            </w:r>
          </w:p>
          <w:p w14:paraId="251D6B87">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《幼儿园保育及设备规程》的制定</w:t>
            </w:r>
          </w:p>
          <w:p w14:paraId="19273B33">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《幼儿园保育及设备规程》共有7条，内容包括：</w:t>
            </w:r>
          </w:p>
          <w:p w14:paraId="733739BB">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（1）幼儿园为年满3岁至学龄前儿童开设的保育场所。</w:t>
            </w:r>
          </w:p>
          <w:p w14:paraId="742527A6">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（2）保育时间（包括吃饭时间）每日为5小时以内。</w:t>
            </w:r>
          </w:p>
          <w:p w14:paraId="7B3BEB2B">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（3）一名保姆可以保育40名以内儿童。</w:t>
            </w:r>
          </w:p>
          <w:p w14:paraId="03B6F979">
            <w:pPr>
              <w:spacing w:line="360" w:lineRule="auto"/>
              <w:ind w:firstLine="480" w:firstLineChars="20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（4）一所幼儿园可招收100名儿童，个别情况可招收150名儿童。</w:t>
            </w:r>
          </w:p>
          <w:p w14:paraId="4CFC823E">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5）对幼儿进行教育，是为了使起身心得到健全的发展，养成良好习惯以及辅助家庭教育；保育方法应以坚持适应幼儿身心发展、教授其难易程度相应的食物为本职业的根本；要时常注意纠正幼儿的德性仪表；因幼儿模仿能力极强，所以平素应使他们多接触，嘉言懿行。</w:t>
            </w:r>
          </w:p>
          <w:p w14:paraId="6BD561AA">
            <w:pPr>
              <w:spacing w:line="360" w:lineRule="auto"/>
              <w:ind w:firstLine="480" w:firstLineChars="20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（6）幼儿的保育项目：游戏、唱歌、会话及手工业。</w:t>
            </w:r>
          </w:p>
          <w:p w14:paraId="4DCDA01D">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（7）幼儿园所需设置的规定。</w:t>
            </w:r>
          </w:p>
          <w:p w14:paraId="0434956B">
            <w:pPr>
              <w:spacing w:line="360" w:lineRule="auto"/>
              <w:rPr>
                <w:rFonts w:ascii="宋体" w:hAnsi="宋体" w:cs="宋体"/>
                <w:color w:val="538135"/>
                <w:sz w:val="24"/>
                <w:szCs w:val="24"/>
                <w:lang w:bidi="ar"/>
              </w:rPr>
            </w:pPr>
            <w:r>
              <w:rPr>
                <w:rFonts w:hint="eastAsia" w:ascii="宋体" w:hAnsi="宋体" w:cs="宋体"/>
                <w:bCs/>
                <w:color w:val="538135"/>
                <w:sz w:val="24"/>
                <w:szCs w:val="24"/>
                <w:lang w:bidi="ar"/>
              </w:rPr>
              <w:t>【学生】</w:t>
            </w:r>
            <w:r>
              <w:rPr>
                <w:rFonts w:hint="eastAsia" w:ascii="宋体" w:hAnsi="宋体" w:cs="宋体"/>
                <w:color w:val="538135"/>
                <w:sz w:val="24"/>
                <w:szCs w:val="24"/>
                <w:lang w:bidi="ar"/>
              </w:rPr>
              <w:t>思考、讨论。</w:t>
            </w:r>
          </w:p>
          <w:p w14:paraId="19078F06">
            <w:pPr>
              <w:spacing w:line="360" w:lineRule="auto"/>
              <w:rPr>
                <w:rFonts w:ascii="Times New Roman" w:hAnsi="Times New Roman"/>
                <w:sz w:val="24"/>
                <w:szCs w:val="24"/>
              </w:rPr>
            </w:pPr>
            <w:r>
              <w:rPr>
                <w:rFonts w:hint="eastAsia" w:ascii="Times New Roman" w:hAnsi="Times New Roman"/>
                <w:sz w:val="24"/>
                <w:szCs w:val="24"/>
              </w:rPr>
              <w:t>蒙台梭利提出的敏感期发展都有哪些？</w:t>
            </w:r>
          </w:p>
        </w:tc>
        <w:tc>
          <w:tcPr>
            <w:tcW w:w="1915" w:type="dxa"/>
            <w:tcBorders>
              <w:tl2br w:val="nil"/>
              <w:tr2bl w:val="nil"/>
            </w:tcBorders>
            <w:vAlign w:val="center"/>
          </w:tcPr>
          <w:p w14:paraId="5757C20A">
            <w:pPr>
              <w:spacing w:line="360" w:lineRule="auto"/>
              <w:rPr>
                <w:rFonts w:ascii="Times New Roman" w:hAnsi="Times New Roman"/>
                <w:bCs/>
                <w:sz w:val="24"/>
                <w:szCs w:val="24"/>
              </w:rPr>
            </w:pPr>
            <w:r>
              <w:rPr>
                <w:rFonts w:hint="eastAsia" w:ascii="Times New Roman" w:hAnsi="Times New Roman"/>
                <w:bCs/>
                <w:sz w:val="24"/>
                <w:szCs w:val="24"/>
              </w:rPr>
              <w:t>通过教师讲解，了解意大利和日本的学前教育发展及意大利学前教育代表人物：蒙台梭利的生平及其教育理论。</w:t>
            </w:r>
          </w:p>
        </w:tc>
      </w:tr>
      <w:tr w14:paraId="06CCE6D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1256494">
            <w:pPr>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lang w:bidi="ar"/>
              </w:rPr>
              <w:t>课堂小结</w:t>
            </w:r>
          </w:p>
          <w:p w14:paraId="38F53292">
            <w:pPr>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lang w:bidi="ar"/>
              </w:rPr>
              <w:t>（3min）</w:t>
            </w:r>
          </w:p>
        </w:tc>
        <w:tc>
          <w:tcPr>
            <w:tcW w:w="7479" w:type="dxa"/>
            <w:tcBorders>
              <w:tl2br w:val="nil"/>
              <w:tr2bl w:val="nil"/>
            </w:tcBorders>
            <w:vAlign w:val="center"/>
          </w:tcPr>
          <w:p w14:paraId="18AB3D89">
            <w:pPr>
              <w:spacing w:line="360" w:lineRule="auto"/>
              <w:rPr>
                <w:rFonts w:ascii="Times New Roman" w:hAnsi="Times New Roman"/>
                <w:sz w:val="24"/>
                <w:szCs w:val="24"/>
              </w:rPr>
            </w:pPr>
            <w:bookmarkStart w:id="6" w:name="OLE_LINK2"/>
            <w:r>
              <w:rPr>
                <w:rFonts w:hint="eastAsia" w:ascii="宋体" w:hAnsi="宋体" w:cs="宋体"/>
                <w:color w:val="CC0066"/>
                <w:sz w:val="24"/>
                <w:szCs w:val="24"/>
                <w:lang w:bidi="ar"/>
              </w:rPr>
              <w:t>【教师】回顾和总结本节课的知识点。</w:t>
            </w:r>
          </w:p>
          <w:bookmarkEnd w:id="6"/>
          <w:p w14:paraId="43342238">
            <w:pPr>
              <w:spacing w:line="360" w:lineRule="auto"/>
              <w:ind w:firstLine="480" w:firstLineChars="200"/>
              <w:rPr>
                <w:rFonts w:ascii="宋体" w:hAnsi="宋体" w:cs="宋体"/>
                <w:sz w:val="24"/>
                <w:szCs w:val="24"/>
                <w:lang w:bidi="ar"/>
              </w:rPr>
            </w:pPr>
            <w:r>
              <w:rPr>
                <w:rFonts w:hint="eastAsia" w:ascii="宋体" w:hAnsi="宋体" w:cs="宋体"/>
                <w:sz w:val="24"/>
                <w:szCs w:val="24"/>
                <w:lang w:bidi="ar"/>
              </w:rPr>
              <w:t>这节课我们一起学习了意大利和日本国家的学前教育发展，并了解了意大利具有代表性人物蒙台梭利的生平及她的主要教育思想。</w:t>
            </w:r>
          </w:p>
        </w:tc>
        <w:tc>
          <w:tcPr>
            <w:tcW w:w="1915" w:type="dxa"/>
            <w:tcBorders>
              <w:tl2br w:val="nil"/>
              <w:tr2bl w:val="nil"/>
            </w:tcBorders>
            <w:vAlign w:val="center"/>
          </w:tcPr>
          <w:p w14:paraId="1BA17B14">
            <w:pPr>
              <w:spacing w:line="360" w:lineRule="auto"/>
              <w:rPr>
                <w:rFonts w:ascii="Times New Roman" w:hAnsi="Times New Roman"/>
                <w:sz w:val="24"/>
                <w:szCs w:val="24"/>
              </w:rPr>
            </w:pPr>
            <w:bookmarkStart w:id="7" w:name="OLE_LINK3"/>
            <w:bookmarkStart w:id="8" w:name="OLE_LINK4"/>
            <w:r>
              <w:rPr>
                <w:rFonts w:hint="eastAsia" w:ascii="宋体" w:hAnsi="宋体" w:cs="宋体"/>
                <w:sz w:val="24"/>
                <w:szCs w:val="24"/>
                <w:lang w:bidi="ar"/>
              </w:rPr>
              <w:t>通过对所学知识的回顾，培养学生的归纳总结能力</w:t>
            </w:r>
            <w:bookmarkEnd w:id="7"/>
            <w:bookmarkEnd w:id="8"/>
          </w:p>
        </w:tc>
      </w:tr>
      <w:tr w14:paraId="7204946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F6E69D5">
            <w:pPr>
              <w:ind w:left="8"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lang w:bidi="ar"/>
              </w:rPr>
              <w:t>作业布置（2min）</w:t>
            </w:r>
          </w:p>
        </w:tc>
        <w:tc>
          <w:tcPr>
            <w:tcW w:w="7479" w:type="dxa"/>
            <w:tcBorders>
              <w:tl2br w:val="nil"/>
              <w:tr2bl w:val="nil"/>
            </w:tcBorders>
            <w:vAlign w:val="center"/>
          </w:tcPr>
          <w:p w14:paraId="2FB58EC9">
            <w:pPr>
              <w:spacing w:line="360" w:lineRule="auto"/>
              <w:rPr>
                <w:rFonts w:ascii="宋体" w:hAnsi="宋体" w:cs="宋体"/>
                <w:bCs/>
                <w:color w:val="C00000"/>
                <w:sz w:val="24"/>
                <w:szCs w:val="24"/>
              </w:rPr>
            </w:pPr>
            <w:r>
              <w:rPr>
                <w:rFonts w:hint="eastAsia" w:ascii="宋体" w:hAnsi="宋体" w:cs="宋体"/>
                <w:color w:val="C00000"/>
                <w:sz w:val="24"/>
                <w:szCs w:val="24"/>
                <w:lang w:bidi="ar"/>
              </w:rPr>
              <w:t>【教师】</w:t>
            </w:r>
            <w:r>
              <w:rPr>
                <w:rFonts w:hint="eastAsia" w:ascii="宋体" w:hAnsi="宋体" w:cs="宋体"/>
                <w:bCs/>
                <w:color w:val="C00000"/>
                <w:sz w:val="24"/>
                <w:szCs w:val="24"/>
                <w:lang w:bidi="ar"/>
              </w:rPr>
              <w:t>布置课后作业</w:t>
            </w:r>
          </w:p>
          <w:p w14:paraId="38F16A8E">
            <w:pPr>
              <w:spacing w:line="360" w:lineRule="auto"/>
              <w:ind w:firstLine="480" w:firstLineChars="200"/>
              <w:rPr>
                <w:rFonts w:hAnsi="宋体"/>
                <w:bCs/>
                <w:sz w:val="24"/>
                <w:szCs w:val="24"/>
              </w:rPr>
            </w:pPr>
            <w:r>
              <w:rPr>
                <w:rFonts w:hint="eastAsia" w:hAnsi="宋体"/>
                <w:bCs/>
                <w:sz w:val="24"/>
                <w:szCs w:val="24"/>
              </w:rPr>
              <w:t>完成课后的思考与练习</w:t>
            </w:r>
          </w:p>
        </w:tc>
        <w:tc>
          <w:tcPr>
            <w:tcW w:w="1915" w:type="dxa"/>
            <w:tcBorders>
              <w:tl2br w:val="nil"/>
              <w:tr2bl w:val="nil"/>
            </w:tcBorders>
            <w:vAlign w:val="center"/>
          </w:tcPr>
          <w:p w14:paraId="7285CF39">
            <w:pPr>
              <w:spacing w:line="360" w:lineRule="auto"/>
              <w:rPr>
                <w:rFonts w:ascii="Times New Roman" w:hAnsi="Times New Roman"/>
                <w:sz w:val="24"/>
                <w:szCs w:val="24"/>
              </w:rPr>
            </w:pPr>
            <w:r>
              <w:rPr>
                <w:rFonts w:hint="eastAsia" w:ascii="宋体" w:hAnsi="宋体" w:cs="宋体"/>
                <w:sz w:val="24"/>
                <w:szCs w:val="24"/>
                <w:lang w:bidi="ar"/>
              </w:rPr>
              <w:t>通过课后练习，使学生巩固所学新知识</w:t>
            </w:r>
          </w:p>
        </w:tc>
      </w:tr>
      <w:tr w14:paraId="0790ABE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63E5DBF">
            <w:pPr>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教学反思</w:t>
            </w:r>
          </w:p>
        </w:tc>
        <w:tc>
          <w:tcPr>
            <w:tcW w:w="9394" w:type="dxa"/>
            <w:gridSpan w:val="2"/>
            <w:tcBorders>
              <w:tl2br w:val="nil"/>
              <w:tr2bl w:val="nil"/>
            </w:tcBorders>
            <w:vAlign w:val="center"/>
          </w:tcPr>
          <w:p w14:paraId="0372D9B2">
            <w:pPr>
              <w:spacing w:line="360" w:lineRule="auto"/>
              <w:rPr>
                <w:rFonts w:ascii="Times New Roman" w:hAnsi="Times New Roman"/>
                <w:sz w:val="24"/>
                <w:szCs w:val="24"/>
              </w:rPr>
            </w:pPr>
            <w:r>
              <w:rPr>
                <w:rFonts w:ascii="Times New Roman" w:hAnsi="Times New Roman"/>
                <w:sz w:val="24"/>
                <w:szCs w:val="24"/>
              </w:rPr>
              <w:t>在教学过程中设置在补充的例题练习中有几道易错题,学生在练习中的“错误体验”将会有助于加深记忆。</w:t>
            </w:r>
          </w:p>
        </w:tc>
      </w:tr>
      <w:bookmarkEnd w:id="9"/>
    </w:tbl>
    <w:p w14:paraId="01645D12"/>
    <w:sectPr>
      <w:headerReference r:id="rId6" w:type="first"/>
      <w:footerReference r:id="rId8" w:type="first"/>
      <w:headerReference r:id="rId5" w:type="default"/>
      <w:footerReference r:id="rId7" w:type="default"/>
      <w:pgSz w:w="11906" w:h="16838"/>
      <w:pgMar w:top="283" w:right="170" w:bottom="283" w:left="170" w:header="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E74A8">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CC867">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4EEFB">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86498">
    <w:pPr>
      <w:pStyle w:val="8"/>
      <w:pBdr>
        <w:bottom w:val="none" w:color="auto" w:sz="0" w:space="1"/>
      </w:pBdr>
    </w:pPr>
    <w:r>
      <w:rPr>
        <w:rFonts w:hint="eastAsia"/>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51131">
    <w:pPr>
      <w:pStyle w:val="8"/>
      <w:pBdr>
        <w:bottom w:val="none" w:color="auto" w:sz="0" w:space="1"/>
      </w:pBdr>
    </w:pPr>
    <w: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BCA45">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3314"/>
    <w:rsid w:val="000251F5"/>
    <w:rsid w:val="000260A1"/>
    <w:rsid w:val="00030C76"/>
    <w:rsid w:val="00032393"/>
    <w:rsid w:val="00032759"/>
    <w:rsid w:val="00033EA9"/>
    <w:rsid w:val="00034267"/>
    <w:rsid w:val="00041045"/>
    <w:rsid w:val="00041DC8"/>
    <w:rsid w:val="00047DED"/>
    <w:rsid w:val="00066B96"/>
    <w:rsid w:val="00085814"/>
    <w:rsid w:val="00086D0B"/>
    <w:rsid w:val="000875D2"/>
    <w:rsid w:val="000907E3"/>
    <w:rsid w:val="000A4274"/>
    <w:rsid w:val="000B19B1"/>
    <w:rsid w:val="000B265C"/>
    <w:rsid w:val="000B4C54"/>
    <w:rsid w:val="000B4C62"/>
    <w:rsid w:val="000C07BD"/>
    <w:rsid w:val="000C0DAE"/>
    <w:rsid w:val="000D3CAC"/>
    <w:rsid w:val="000D661D"/>
    <w:rsid w:val="000E2C9A"/>
    <w:rsid w:val="000E5DC5"/>
    <w:rsid w:val="000F38F8"/>
    <w:rsid w:val="000F7E05"/>
    <w:rsid w:val="00100C97"/>
    <w:rsid w:val="00110CD4"/>
    <w:rsid w:val="001156C2"/>
    <w:rsid w:val="001227AF"/>
    <w:rsid w:val="00122D65"/>
    <w:rsid w:val="00127930"/>
    <w:rsid w:val="00130FB7"/>
    <w:rsid w:val="001327C7"/>
    <w:rsid w:val="00137B09"/>
    <w:rsid w:val="00141495"/>
    <w:rsid w:val="0014511A"/>
    <w:rsid w:val="0015161D"/>
    <w:rsid w:val="00165FC4"/>
    <w:rsid w:val="001706AD"/>
    <w:rsid w:val="00170F4A"/>
    <w:rsid w:val="00172447"/>
    <w:rsid w:val="001769B1"/>
    <w:rsid w:val="00177278"/>
    <w:rsid w:val="00183A11"/>
    <w:rsid w:val="00195060"/>
    <w:rsid w:val="001A6E6C"/>
    <w:rsid w:val="001A70B3"/>
    <w:rsid w:val="001B36F7"/>
    <w:rsid w:val="001C4D6A"/>
    <w:rsid w:val="001D051E"/>
    <w:rsid w:val="001D3A8C"/>
    <w:rsid w:val="001E06FA"/>
    <w:rsid w:val="001E2B6C"/>
    <w:rsid w:val="001E4145"/>
    <w:rsid w:val="001E6D99"/>
    <w:rsid w:val="00200925"/>
    <w:rsid w:val="00202A1C"/>
    <w:rsid w:val="0020518E"/>
    <w:rsid w:val="002262BD"/>
    <w:rsid w:val="00231853"/>
    <w:rsid w:val="002329DE"/>
    <w:rsid w:val="00233CF2"/>
    <w:rsid w:val="00235F6C"/>
    <w:rsid w:val="00240B02"/>
    <w:rsid w:val="0024383A"/>
    <w:rsid w:val="00251B66"/>
    <w:rsid w:val="0026126D"/>
    <w:rsid w:val="00264BD5"/>
    <w:rsid w:val="00275117"/>
    <w:rsid w:val="00284B51"/>
    <w:rsid w:val="002878FB"/>
    <w:rsid w:val="00287C28"/>
    <w:rsid w:val="00291909"/>
    <w:rsid w:val="00292FEA"/>
    <w:rsid w:val="002A0216"/>
    <w:rsid w:val="002A2535"/>
    <w:rsid w:val="002A33A8"/>
    <w:rsid w:val="002A404C"/>
    <w:rsid w:val="002A4158"/>
    <w:rsid w:val="002B23CF"/>
    <w:rsid w:val="002B38E7"/>
    <w:rsid w:val="002B7185"/>
    <w:rsid w:val="002C110C"/>
    <w:rsid w:val="002C1F01"/>
    <w:rsid w:val="002D6662"/>
    <w:rsid w:val="002E184A"/>
    <w:rsid w:val="002E68A4"/>
    <w:rsid w:val="002E7294"/>
    <w:rsid w:val="003126FD"/>
    <w:rsid w:val="00315E59"/>
    <w:rsid w:val="00316415"/>
    <w:rsid w:val="00316DC3"/>
    <w:rsid w:val="00317AB5"/>
    <w:rsid w:val="00325F15"/>
    <w:rsid w:val="003529CF"/>
    <w:rsid w:val="00355D4B"/>
    <w:rsid w:val="00363658"/>
    <w:rsid w:val="003648FD"/>
    <w:rsid w:val="00365839"/>
    <w:rsid w:val="00365BD3"/>
    <w:rsid w:val="0039102B"/>
    <w:rsid w:val="0039306C"/>
    <w:rsid w:val="003937CA"/>
    <w:rsid w:val="003A663D"/>
    <w:rsid w:val="003B0CAE"/>
    <w:rsid w:val="003B2EE1"/>
    <w:rsid w:val="003B4179"/>
    <w:rsid w:val="003B6AA4"/>
    <w:rsid w:val="003C37D3"/>
    <w:rsid w:val="003C495D"/>
    <w:rsid w:val="003D045E"/>
    <w:rsid w:val="003D32FB"/>
    <w:rsid w:val="003D3443"/>
    <w:rsid w:val="003D4B07"/>
    <w:rsid w:val="003D77B0"/>
    <w:rsid w:val="003F1437"/>
    <w:rsid w:val="003F5B78"/>
    <w:rsid w:val="0040216F"/>
    <w:rsid w:val="00402F26"/>
    <w:rsid w:val="00410165"/>
    <w:rsid w:val="00414D6F"/>
    <w:rsid w:val="004359A6"/>
    <w:rsid w:val="00444506"/>
    <w:rsid w:val="0045341E"/>
    <w:rsid w:val="0047652A"/>
    <w:rsid w:val="0048143C"/>
    <w:rsid w:val="00481FC2"/>
    <w:rsid w:val="00485D5E"/>
    <w:rsid w:val="00486CAD"/>
    <w:rsid w:val="0049606E"/>
    <w:rsid w:val="004A1EE5"/>
    <w:rsid w:val="004B3CF6"/>
    <w:rsid w:val="004C029E"/>
    <w:rsid w:val="004C512D"/>
    <w:rsid w:val="004C5AA3"/>
    <w:rsid w:val="004C740C"/>
    <w:rsid w:val="004C7A80"/>
    <w:rsid w:val="004D147E"/>
    <w:rsid w:val="004D23FC"/>
    <w:rsid w:val="004D2C8A"/>
    <w:rsid w:val="004D74E9"/>
    <w:rsid w:val="004E1C39"/>
    <w:rsid w:val="004E2439"/>
    <w:rsid w:val="004F67EA"/>
    <w:rsid w:val="00505E55"/>
    <w:rsid w:val="00514F01"/>
    <w:rsid w:val="00524802"/>
    <w:rsid w:val="00527968"/>
    <w:rsid w:val="00530E72"/>
    <w:rsid w:val="0053418A"/>
    <w:rsid w:val="0055010C"/>
    <w:rsid w:val="00563E09"/>
    <w:rsid w:val="00572303"/>
    <w:rsid w:val="00591658"/>
    <w:rsid w:val="00594AC9"/>
    <w:rsid w:val="005A04FD"/>
    <w:rsid w:val="005B2198"/>
    <w:rsid w:val="005C3540"/>
    <w:rsid w:val="005E14DD"/>
    <w:rsid w:val="005F1D11"/>
    <w:rsid w:val="00601D08"/>
    <w:rsid w:val="00603EDE"/>
    <w:rsid w:val="00610D47"/>
    <w:rsid w:val="00630A0C"/>
    <w:rsid w:val="00631B96"/>
    <w:rsid w:val="00633C56"/>
    <w:rsid w:val="0064128C"/>
    <w:rsid w:val="0064204D"/>
    <w:rsid w:val="006422CD"/>
    <w:rsid w:val="00642E05"/>
    <w:rsid w:val="0065006B"/>
    <w:rsid w:val="006509C8"/>
    <w:rsid w:val="0065152E"/>
    <w:rsid w:val="00655917"/>
    <w:rsid w:val="00660119"/>
    <w:rsid w:val="006621CF"/>
    <w:rsid w:val="00673469"/>
    <w:rsid w:val="006759C7"/>
    <w:rsid w:val="00675D5A"/>
    <w:rsid w:val="0067670B"/>
    <w:rsid w:val="006840A4"/>
    <w:rsid w:val="0068662B"/>
    <w:rsid w:val="0069310C"/>
    <w:rsid w:val="00693C47"/>
    <w:rsid w:val="00694463"/>
    <w:rsid w:val="006960C8"/>
    <w:rsid w:val="006B59A6"/>
    <w:rsid w:val="006B731C"/>
    <w:rsid w:val="006C4F4C"/>
    <w:rsid w:val="006D0589"/>
    <w:rsid w:val="006E0ED7"/>
    <w:rsid w:val="006E11D0"/>
    <w:rsid w:val="006E1507"/>
    <w:rsid w:val="006E632B"/>
    <w:rsid w:val="006F0174"/>
    <w:rsid w:val="006F5420"/>
    <w:rsid w:val="006F683D"/>
    <w:rsid w:val="006F6EAC"/>
    <w:rsid w:val="00703C88"/>
    <w:rsid w:val="00706624"/>
    <w:rsid w:val="007079FF"/>
    <w:rsid w:val="00721607"/>
    <w:rsid w:val="00727DA5"/>
    <w:rsid w:val="00732B84"/>
    <w:rsid w:val="007450E1"/>
    <w:rsid w:val="00764EAE"/>
    <w:rsid w:val="007665D6"/>
    <w:rsid w:val="00771CB7"/>
    <w:rsid w:val="00774A06"/>
    <w:rsid w:val="007A1149"/>
    <w:rsid w:val="007A45BB"/>
    <w:rsid w:val="007B59A7"/>
    <w:rsid w:val="007C5ECB"/>
    <w:rsid w:val="007D07DC"/>
    <w:rsid w:val="007E135C"/>
    <w:rsid w:val="007F52A3"/>
    <w:rsid w:val="00820AB4"/>
    <w:rsid w:val="008373CE"/>
    <w:rsid w:val="0084469D"/>
    <w:rsid w:val="0084547D"/>
    <w:rsid w:val="00854400"/>
    <w:rsid w:val="0086345D"/>
    <w:rsid w:val="00867F7F"/>
    <w:rsid w:val="00881A37"/>
    <w:rsid w:val="00883C23"/>
    <w:rsid w:val="00895FF2"/>
    <w:rsid w:val="008A0B8D"/>
    <w:rsid w:val="008A12A5"/>
    <w:rsid w:val="008A17A6"/>
    <w:rsid w:val="008B65CA"/>
    <w:rsid w:val="008B7BB5"/>
    <w:rsid w:val="008C584A"/>
    <w:rsid w:val="008D0DCA"/>
    <w:rsid w:val="008D5353"/>
    <w:rsid w:val="008D7EF6"/>
    <w:rsid w:val="008E003C"/>
    <w:rsid w:val="008E6403"/>
    <w:rsid w:val="008E6A68"/>
    <w:rsid w:val="008F27D3"/>
    <w:rsid w:val="008F2E57"/>
    <w:rsid w:val="008F6E17"/>
    <w:rsid w:val="009056B5"/>
    <w:rsid w:val="00906F30"/>
    <w:rsid w:val="009129DE"/>
    <w:rsid w:val="00914FD9"/>
    <w:rsid w:val="00916C28"/>
    <w:rsid w:val="00917F43"/>
    <w:rsid w:val="00920641"/>
    <w:rsid w:val="00922F12"/>
    <w:rsid w:val="00926265"/>
    <w:rsid w:val="00935391"/>
    <w:rsid w:val="00935858"/>
    <w:rsid w:val="00937CD4"/>
    <w:rsid w:val="00943102"/>
    <w:rsid w:val="009444B5"/>
    <w:rsid w:val="00944501"/>
    <w:rsid w:val="00955012"/>
    <w:rsid w:val="00966471"/>
    <w:rsid w:val="0098073E"/>
    <w:rsid w:val="00983008"/>
    <w:rsid w:val="00984F92"/>
    <w:rsid w:val="00996E2D"/>
    <w:rsid w:val="009B07F3"/>
    <w:rsid w:val="009B3A40"/>
    <w:rsid w:val="009C0AE0"/>
    <w:rsid w:val="009C3CC9"/>
    <w:rsid w:val="009C65CB"/>
    <w:rsid w:val="009D1C47"/>
    <w:rsid w:val="009D2B40"/>
    <w:rsid w:val="009E362F"/>
    <w:rsid w:val="009F1D67"/>
    <w:rsid w:val="009F43F0"/>
    <w:rsid w:val="009F56A2"/>
    <w:rsid w:val="00A00006"/>
    <w:rsid w:val="00A01CBA"/>
    <w:rsid w:val="00A03BF7"/>
    <w:rsid w:val="00A07398"/>
    <w:rsid w:val="00A1764A"/>
    <w:rsid w:val="00A361DC"/>
    <w:rsid w:val="00A47A9D"/>
    <w:rsid w:val="00A61ADE"/>
    <w:rsid w:val="00A65E57"/>
    <w:rsid w:val="00A66F98"/>
    <w:rsid w:val="00A77EDC"/>
    <w:rsid w:val="00A9481A"/>
    <w:rsid w:val="00AB118B"/>
    <w:rsid w:val="00AC0908"/>
    <w:rsid w:val="00AC16F9"/>
    <w:rsid w:val="00AC478F"/>
    <w:rsid w:val="00AC774E"/>
    <w:rsid w:val="00AD0743"/>
    <w:rsid w:val="00AD38C8"/>
    <w:rsid w:val="00AE4AF0"/>
    <w:rsid w:val="00AE5721"/>
    <w:rsid w:val="00AE683A"/>
    <w:rsid w:val="00B16242"/>
    <w:rsid w:val="00B16373"/>
    <w:rsid w:val="00B2045D"/>
    <w:rsid w:val="00B21432"/>
    <w:rsid w:val="00B25457"/>
    <w:rsid w:val="00B26D0D"/>
    <w:rsid w:val="00B35660"/>
    <w:rsid w:val="00B3567A"/>
    <w:rsid w:val="00B364A8"/>
    <w:rsid w:val="00B4272D"/>
    <w:rsid w:val="00B43511"/>
    <w:rsid w:val="00B47365"/>
    <w:rsid w:val="00B537F5"/>
    <w:rsid w:val="00B604E2"/>
    <w:rsid w:val="00B7231E"/>
    <w:rsid w:val="00B745DF"/>
    <w:rsid w:val="00B80469"/>
    <w:rsid w:val="00B8084C"/>
    <w:rsid w:val="00B81252"/>
    <w:rsid w:val="00B8585D"/>
    <w:rsid w:val="00BA0DFD"/>
    <w:rsid w:val="00BA3017"/>
    <w:rsid w:val="00BA4527"/>
    <w:rsid w:val="00BB0931"/>
    <w:rsid w:val="00BB6C06"/>
    <w:rsid w:val="00BB79B5"/>
    <w:rsid w:val="00BC0CDD"/>
    <w:rsid w:val="00BD44BE"/>
    <w:rsid w:val="00BD4558"/>
    <w:rsid w:val="00BE4F38"/>
    <w:rsid w:val="00BF4125"/>
    <w:rsid w:val="00BF7295"/>
    <w:rsid w:val="00C020F4"/>
    <w:rsid w:val="00C03EBC"/>
    <w:rsid w:val="00C12DED"/>
    <w:rsid w:val="00C13010"/>
    <w:rsid w:val="00C13A18"/>
    <w:rsid w:val="00C15D93"/>
    <w:rsid w:val="00C15FA0"/>
    <w:rsid w:val="00C25BBA"/>
    <w:rsid w:val="00C32B34"/>
    <w:rsid w:val="00C3793E"/>
    <w:rsid w:val="00C538F6"/>
    <w:rsid w:val="00C539B3"/>
    <w:rsid w:val="00C62DB9"/>
    <w:rsid w:val="00C65E83"/>
    <w:rsid w:val="00C710BF"/>
    <w:rsid w:val="00C72F5C"/>
    <w:rsid w:val="00C757FF"/>
    <w:rsid w:val="00C75A36"/>
    <w:rsid w:val="00C8147F"/>
    <w:rsid w:val="00C870A5"/>
    <w:rsid w:val="00C913C9"/>
    <w:rsid w:val="00CA4BEA"/>
    <w:rsid w:val="00CB086C"/>
    <w:rsid w:val="00CB4DC5"/>
    <w:rsid w:val="00CC1ED3"/>
    <w:rsid w:val="00CC51AA"/>
    <w:rsid w:val="00CC69F7"/>
    <w:rsid w:val="00CD06A1"/>
    <w:rsid w:val="00CD5851"/>
    <w:rsid w:val="00D019D7"/>
    <w:rsid w:val="00D046A4"/>
    <w:rsid w:val="00D1142A"/>
    <w:rsid w:val="00D16386"/>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A70B9"/>
    <w:rsid w:val="00DB13C3"/>
    <w:rsid w:val="00DB2AB8"/>
    <w:rsid w:val="00DB4228"/>
    <w:rsid w:val="00DB55B3"/>
    <w:rsid w:val="00DB7A7E"/>
    <w:rsid w:val="00DC0439"/>
    <w:rsid w:val="00DC2395"/>
    <w:rsid w:val="00DC2957"/>
    <w:rsid w:val="00DD1421"/>
    <w:rsid w:val="00DD4D1B"/>
    <w:rsid w:val="00DF4461"/>
    <w:rsid w:val="00DF515A"/>
    <w:rsid w:val="00E0214F"/>
    <w:rsid w:val="00E032D4"/>
    <w:rsid w:val="00E04B69"/>
    <w:rsid w:val="00E0715F"/>
    <w:rsid w:val="00E07316"/>
    <w:rsid w:val="00E12FD7"/>
    <w:rsid w:val="00E31AE7"/>
    <w:rsid w:val="00E5322C"/>
    <w:rsid w:val="00E54598"/>
    <w:rsid w:val="00E5467F"/>
    <w:rsid w:val="00E556B1"/>
    <w:rsid w:val="00E665E3"/>
    <w:rsid w:val="00E722E8"/>
    <w:rsid w:val="00E730DA"/>
    <w:rsid w:val="00E77BE9"/>
    <w:rsid w:val="00E867CA"/>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206F"/>
    <w:rsid w:val="00F658F4"/>
    <w:rsid w:val="00F72692"/>
    <w:rsid w:val="00F75EB8"/>
    <w:rsid w:val="00F83533"/>
    <w:rsid w:val="00F84C5E"/>
    <w:rsid w:val="00F90405"/>
    <w:rsid w:val="00F94A21"/>
    <w:rsid w:val="00F96231"/>
    <w:rsid w:val="00FC1E8A"/>
    <w:rsid w:val="00FD29F5"/>
    <w:rsid w:val="00FD5DA0"/>
    <w:rsid w:val="00FF43FF"/>
    <w:rsid w:val="00FF4BDE"/>
    <w:rsid w:val="027B08F2"/>
    <w:rsid w:val="061F1E41"/>
    <w:rsid w:val="0AC91BFE"/>
    <w:rsid w:val="0D2F326C"/>
    <w:rsid w:val="0EFB3964"/>
    <w:rsid w:val="138E17D4"/>
    <w:rsid w:val="16527C12"/>
    <w:rsid w:val="1FB84519"/>
    <w:rsid w:val="218A5BED"/>
    <w:rsid w:val="24B477DD"/>
    <w:rsid w:val="28B578A7"/>
    <w:rsid w:val="322A12C5"/>
    <w:rsid w:val="333E3614"/>
    <w:rsid w:val="34AD60CD"/>
    <w:rsid w:val="368D542E"/>
    <w:rsid w:val="388B134B"/>
    <w:rsid w:val="3EB371A6"/>
    <w:rsid w:val="436C72A2"/>
    <w:rsid w:val="43CD7F64"/>
    <w:rsid w:val="44B33A23"/>
    <w:rsid w:val="45C91BBA"/>
    <w:rsid w:val="4B76711C"/>
    <w:rsid w:val="4C7F0E23"/>
    <w:rsid w:val="5A7C6694"/>
    <w:rsid w:val="5C2D08FD"/>
    <w:rsid w:val="79ED6DBE"/>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30"/>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3"/>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5"/>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6"/>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28"/>
    <w:unhideWhenUsed/>
    <w:qFormat/>
    <w:uiPriority w:val="0"/>
    <w:rPr>
      <w:rFonts w:eastAsia="黑体" w:asciiTheme="majorHAnsi" w:hAnsiTheme="majorHAnsi" w:cstheme="majorBidi"/>
      <w:sz w:val="20"/>
      <w:szCs w:val="20"/>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4">
    <w:name w:val="Heading #3|1"/>
    <w:basedOn w:val="1"/>
    <w:link w:val="15"/>
    <w:qFormat/>
    <w:uiPriority w:val="0"/>
    <w:pPr>
      <w:spacing w:after="160"/>
      <w:outlineLvl w:val="2"/>
    </w:pPr>
    <w:rPr>
      <w:rFonts w:ascii="宋体" w:hAnsi="宋体" w:cs="宋体"/>
      <w:color w:val="EC008D"/>
      <w:sz w:val="20"/>
      <w:szCs w:val="20"/>
      <w:lang w:val="zh-TW" w:eastAsia="zh-TW" w:bidi="zh-TW"/>
    </w:rPr>
  </w:style>
  <w:style w:type="character" w:customStyle="1" w:styleId="15">
    <w:name w:val="Heading #3|1 Char"/>
    <w:link w:val="14"/>
    <w:qFormat/>
    <w:uiPriority w:val="0"/>
    <w:rPr>
      <w:rFonts w:ascii="宋体" w:hAnsi="宋体" w:eastAsia="宋体" w:cs="宋体"/>
      <w:color w:val="EC008D"/>
      <w:sz w:val="20"/>
      <w:szCs w:val="20"/>
      <w:lang w:val="zh-TW" w:eastAsia="zh-TW" w:bidi="zh-TW"/>
    </w:rPr>
  </w:style>
  <w:style w:type="paragraph" w:customStyle="1" w:styleId="16">
    <w:name w:val="Body text|1"/>
    <w:basedOn w:val="1"/>
    <w:link w:val="17"/>
    <w:unhideWhenUsed/>
    <w:qFormat/>
    <w:uiPriority w:val="0"/>
    <w:pPr>
      <w:spacing w:line="360" w:lineRule="auto"/>
      <w:ind w:firstLine="400"/>
    </w:pPr>
    <w:rPr>
      <w:rFonts w:ascii="宋体" w:hAnsi="宋体" w:cs="宋体"/>
      <w:sz w:val="20"/>
      <w:szCs w:val="20"/>
      <w:lang w:val="zh-TW" w:eastAsia="zh-TW" w:bidi="zh-TW"/>
    </w:rPr>
  </w:style>
  <w:style w:type="character" w:customStyle="1" w:styleId="17">
    <w:name w:val="Body text|1 Char"/>
    <w:link w:val="16"/>
    <w:qFormat/>
    <w:uiPriority w:val="0"/>
    <w:rPr>
      <w:rFonts w:ascii="宋体" w:hAnsi="宋体" w:eastAsia="宋体" w:cs="宋体"/>
      <w:sz w:val="20"/>
      <w:szCs w:val="20"/>
      <w:lang w:val="zh-TW" w:eastAsia="zh-TW" w:bidi="zh-TW"/>
    </w:rPr>
  </w:style>
  <w:style w:type="character" w:customStyle="1" w:styleId="18">
    <w:name w:val="页眉 字符"/>
    <w:basedOn w:val="12"/>
    <w:link w:val="8"/>
    <w:qFormat/>
    <w:uiPriority w:val="99"/>
    <w:rPr>
      <w:rFonts w:ascii="Calibri" w:hAnsi="Calibri" w:eastAsia="宋体" w:cs="Times New Roman"/>
      <w:sz w:val="18"/>
      <w:szCs w:val="18"/>
    </w:rPr>
  </w:style>
  <w:style w:type="character" w:customStyle="1" w:styleId="19">
    <w:name w:val="页脚 字符"/>
    <w:basedOn w:val="12"/>
    <w:link w:val="7"/>
    <w:qFormat/>
    <w:uiPriority w:val="99"/>
    <w:rPr>
      <w:rFonts w:ascii="Calibri" w:hAnsi="Calibri" w:eastAsia="宋体" w:cs="Times New Roman"/>
      <w:sz w:val="18"/>
      <w:szCs w:val="18"/>
    </w:rPr>
  </w:style>
  <w:style w:type="paragraph" w:styleId="20">
    <w:name w:val="List Paragraph"/>
    <w:basedOn w:val="1"/>
    <w:qFormat/>
    <w:uiPriority w:val="34"/>
    <w:pPr>
      <w:ind w:firstLine="420" w:firstLineChars="200"/>
    </w:pPr>
  </w:style>
  <w:style w:type="paragraph" w:customStyle="1" w:styleId="21">
    <w:name w:val="知识拓展内容"/>
    <w:basedOn w:val="1"/>
    <w:link w:val="22"/>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rPr>
  </w:style>
  <w:style w:type="character" w:customStyle="1" w:styleId="22">
    <w:name w:val="知识拓展内容 Char"/>
    <w:link w:val="21"/>
    <w:qFormat/>
    <w:uiPriority w:val="0"/>
    <w:rPr>
      <w:rFonts w:ascii="Times New Roman" w:hAnsi="Times New Roman" w:eastAsia="仿宋_GB2312" w:cs="Times New Roman"/>
      <w:kern w:val="10"/>
      <w:szCs w:val="21"/>
      <w:shd w:val="clear" w:color="auto" w:fill="FADCE9"/>
      <w:lang w:val="zh-CN" w:eastAsia="zh-CN"/>
    </w:rPr>
  </w:style>
  <w:style w:type="character" w:customStyle="1" w:styleId="23">
    <w:name w:val="标题 4 字符"/>
    <w:basedOn w:val="12"/>
    <w:link w:val="3"/>
    <w:qFormat/>
    <w:uiPriority w:val="0"/>
    <w:rPr>
      <w:rFonts w:ascii="Times New Roman" w:hAnsi="Times New Roman" w:eastAsia="方正宋黑_GBK" w:cs="Times New Roman"/>
      <w:color w:val="E4007F"/>
      <w:sz w:val="26"/>
      <w:szCs w:val="20"/>
    </w:rPr>
  </w:style>
  <w:style w:type="character" w:customStyle="1" w:styleId="24">
    <w:name w:val="字符样式 拼音字体"/>
    <w:qFormat/>
    <w:uiPriority w:val="0"/>
    <w:rPr>
      <w:rFonts w:ascii="PinYinok" w:hAnsi="PinYinok"/>
      <w:sz w:val="24"/>
      <w:szCs w:val="24"/>
    </w:rPr>
  </w:style>
  <w:style w:type="character" w:customStyle="1" w:styleId="25">
    <w:name w:val="标题 5 字符"/>
    <w:basedOn w:val="12"/>
    <w:link w:val="4"/>
    <w:semiHidden/>
    <w:qFormat/>
    <w:uiPriority w:val="9"/>
    <w:rPr>
      <w:rFonts w:ascii="Calibri" w:hAnsi="Calibri" w:eastAsia="宋体" w:cs="Times New Roman"/>
      <w:b/>
      <w:bCs/>
      <w:sz w:val="28"/>
      <w:szCs w:val="28"/>
    </w:rPr>
  </w:style>
  <w:style w:type="character" w:customStyle="1" w:styleId="26">
    <w:name w:val="标题 6 字符"/>
    <w:basedOn w:val="12"/>
    <w:link w:val="5"/>
    <w:semiHidden/>
    <w:qFormat/>
    <w:uiPriority w:val="9"/>
    <w:rPr>
      <w:rFonts w:asciiTheme="majorHAnsi" w:hAnsiTheme="majorHAnsi" w:eastAsiaTheme="majorEastAsia" w:cstheme="majorBidi"/>
      <w:b/>
      <w:bCs/>
      <w:sz w:val="24"/>
      <w:szCs w:val="24"/>
    </w:rPr>
  </w:style>
  <w:style w:type="paragraph" w:customStyle="1" w:styleId="27">
    <w:name w:val="图片"/>
    <w:basedOn w:val="1"/>
    <w:next w:val="6"/>
    <w:link w:val="29"/>
    <w:qFormat/>
    <w:uiPriority w:val="0"/>
    <w:pPr>
      <w:spacing w:before="120"/>
      <w:jc w:val="center"/>
    </w:pPr>
    <w:rPr>
      <w:rFonts w:ascii="Times New Roman" w:hAnsi="Times New Roman"/>
      <w:szCs w:val="20"/>
    </w:rPr>
  </w:style>
  <w:style w:type="character" w:customStyle="1" w:styleId="28">
    <w:name w:val="题注 字符"/>
    <w:link w:val="6"/>
    <w:qFormat/>
    <w:locked/>
    <w:uiPriority w:val="0"/>
    <w:rPr>
      <w:rFonts w:eastAsia="黑体" w:asciiTheme="majorHAnsi" w:hAnsiTheme="majorHAnsi" w:cstheme="majorBidi"/>
      <w:sz w:val="20"/>
      <w:szCs w:val="20"/>
    </w:rPr>
  </w:style>
  <w:style w:type="character" w:customStyle="1" w:styleId="29">
    <w:name w:val="图片 Char"/>
    <w:link w:val="27"/>
    <w:qFormat/>
    <w:locked/>
    <w:uiPriority w:val="0"/>
    <w:rPr>
      <w:rFonts w:ascii="Times New Roman" w:hAnsi="Times New Roman" w:eastAsia="宋体" w:cs="Times New Roman"/>
      <w:szCs w:val="20"/>
    </w:rPr>
  </w:style>
  <w:style w:type="character" w:customStyle="1" w:styleId="30">
    <w:name w:val="标题 3 字符"/>
    <w:basedOn w:val="12"/>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2684</Words>
  <Characters>2791</Characters>
  <Lines>21</Lines>
  <Paragraphs>5</Paragraphs>
  <TotalTime>0</TotalTime>
  <ScaleCrop>false</ScaleCrop>
  <LinksUpToDate>false</LinksUpToDate>
  <CharactersWithSpaces>2793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2025-08-02T01:34:00Z</dcterms:created>
  <dc:creator>DELL</dc:creator>
  <cp:lastModifiedBy>六月</cp:lastModifiedBy>
  <dcterms:modified xsi:type="dcterms:W3CDTF">2025-08-11T06:17:57Z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D58739FC518A4B37B47FED5A4AB05FA0_13</vt:lpwstr>
  </property>
  <property fmtid="{D5CDD505-2E9C-101B-9397-08002B2CF9AE}" pid="4" name="KSOTemplateDocerSaveRecord">
    <vt:lpwstr>eyJoZGlkIjoiOTcxZjc4Y2ViNTBlZDVmZTI3YTAxZGE1NWVmM2E2NDEiLCJ1c2VySWQiOiI0MDMzMDA2MzYifQ==</vt:lpwstr>
  </property>
</Properties>
</file>